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0"/>
      </w:pPr>
      <w:r>
        <w:rPr>
          <w:rFonts w:ascii="Aptos" w:cs="Aptos" w:eastAsia="Aptos" w:hAnsi="Aptos"/>
          <w:b/>
          <w:bCs/>
          <w:i w:val="false"/>
          <w:iCs w:val="false"/>
          <w:color w:val="8C5A2B"/>
          <w:sz w:val="17"/>
          <w:szCs w:val="17"/>
        </w:rPr>
        <w:t xml:space="preserve">DAS STEUER UND DIE LUPE  ·  ISO 14001:2026  ·  ONLINE-ANHANG ZU UNTERKAPITEL 4.2</w:t>
      </w:r>
    </w:p>
    <w:p>
      <w:pPr>
        <w:spacing w:after="100"/>
      </w:pPr>
      <w:r>
        <w:rPr>
          <w:rFonts w:ascii="Georgia" w:cs="Georgia" w:eastAsia="Georgia" w:hAnsi="Georgia"/>
          <w:color w:val="8C5A2B"/>
          <w:sz w:val="40"/>
          <w:szCs w:val="40"/>
        </w:rPr>
        <w:t xml:space="preserve">Wahl der Zertifizierungsstelle: Bewertungskriterien und Auswahlfragebogen</w:t>
      </w:r>
    </w:p>
    <w:p>
      <w:pPr>
        <w:spacing w:after="200" w:before="0"/>
      </w:pPr>
      <w:r>
        <w:rPr>
          <w:rFonts w:ascii="Aptos" w:cs="Aptos" w:eastAsia="Aptos" w:hAnsi="Aptos"/>
          <w:b w:val="false"/>
          <w:bCs w:val="false"/>
          <w:i/>
          <w:iCs/>
          <w:color w:val="5A5A5A"/>
          <w:sz w:val="19"/>
          <w:szCs w:val="19"/>
        </w:rPr>
        <w:t xml:space="preserve">Kriterien zur vergleichenden Bewertung von Zertifizierungsstellen sowie ein Auswahlfragebogen. Begleitmaterial zu Unterkapitel 4.2 — Wahl der Zertifizierungsstelle. Band 1b, Die Lupe.</w:t>
      </w:r>
    </w:p>
    <w:p>
      <w:pPr>
        <w:pBdr>
          <w:left w:val="single" w:color="C9BBA6" w:sz="12" w:space="8"/>
        </w:pBdr>
        <w:spacing w:after="300" w:before="0"/>
      </w:pPr>
      <w:r>
        <w:rPr>
          <w:rFonts w:ascii="Aptos" w:cs="Aptos" w:eastAsia="Aptos" w:hAnsi="Aptos"/>
          <w:b w:val="false"/>
          <w:bCs w:val="false"/>
          <w:i w:val="false"/>
          <w:iCs w:val="false"/>
          <w:color w:val="5A5A5A"/>
          <w:sz w:val="19"/>
          <w:szCs w:val="19"/>
        </w:rPr>
        <w:t xml:space="preserve">Frei verwendbar, kopierbar und anpassbar. Keine Registrierung, keine E-Mail-Adresse, kein Konto. Ausdrucken oder die Word-Fassung herunterladen und mit dem eigenen Briefkopf versehen.</w:t>
      </w:r>
    </w:p>
    <w:p>
      <w:pPr>
        <w:spacing w:after="120" w:before="0"/>
      </w:pPr>
      <w:r>
        <w:rPr>
          <w:rFonts w:ascii="Aptos" w:cs="Aptos" w:eastAsia="Aptos" w:hAnsi="Aptos"/>
          <w:b w:val="false"/>
          <w:bCs w:val="false"/>
          <w:i w:val="false"/>
          <w:iCs w:val="false"/>
          <w:color w:val="1A1A1A"/>
          <w:sz w:val="21"/>
          <w:szCs w:val="21"/>
        </w:rPr>
        <w:t xml:space="preserve">Die ISO 14001 regelt die Wahl der Zertifizierungsstelle nicht. Die Struktur wählt frei, und genau deshalb wird dieser Schritt so häufig unstrukturiert vollzogen — nach Preis, nach Bekanntheit oder nach dem Angebot, das zuerst eintrifft. Die Folgen zeigen sich erst Jahre später, wenn ein Corporate-Kunde das Zertifikat nicht anerkennt oder wenn das Überwachungsaudit nichts zutage fördert, was das Haus nicht schon wusste.</w:t>
      </w:r>
    </w:p>
    <w:p>
      <w:pPr>
        <w:spacing w:after="120" w:before="0"/>
      </w:pPr>
      <w:r>
        <w:rPr>
          <w:rFonts w:ascii="Aptos" w:cs="Aptos" w:eastAsia="Aptos" w:hAnsi="Aptos"/>
          <w:b w:val="false"/>
          <w:bCs w:val="false"/>
          <w:i w:val="false"/>
          <w:iCs w:val="false"/>
          <w:color w:val="1A1A1A"/>
          <w:sz w:val="21"/>
          <w:szCs w:val="21"/>
        </w:rPr>
        <w:t xml:space="preserve">Diese Vorlage macht aus der Wahl eine dokumentierte Entscheidung. Sie besteht aus zwei Teilen, die zusammengehören: den Bewertungskriterien, mit denen die Angebote verglichen werden, und dem Fragebogen, der die Angaben erst hervorbringt, auf denen der Vergleich beruht. Ohne den Fragebogen bewertet die Matrix Vermutungen.</w:t>
      </w:r>
    </w:p>
    <w:p>
      <w:pPr>
        <w:spacing w:after="120" w:before="0"/>
      </w:pPr>
      <w:r>
        <w:rPr>
          <w:rFonts w:ascii="Aptos" w:cs="Aptos" w:eastAsia="Aptos" w:hAnsi="Aptos"/>
          <w:b w:val="false"/>
          <w:bCs w:val="false"/>
          <w:i w:val="false"/>
          <w:iCs w:val="false"/>
          <w:color w:val="1A1A1A"/>
          <w:sz w:val="21"/>
          <w:szCs w:val="21"/>
        </w:rPr>
        <w:t xml:space="preserve">Zwei Sätze tragen die ganze Systematik. Der erste: Die Akkreditierung ist Eintrittsbedingung, kein Auswahlkriterium — sie schließt aus, sie unterscheidet nicht. Der zweite: Sektorkompetenz ist keine Eigenschaft der Stelle, sondern des Auditors, der tatsächlich kommt. Wer diese beiden Sätze anwendet, hat den größten Teil der Auswahlfehler bereits vermieden.</w:t>
      </w:r>
    </w:p>
    <w:p>
      <w:pPr>
        <w:pBdr>
          <w:bottom w:val="single" w:color="C9BBA6" w:sz="6" w:space="4"/>
        </w:pBdr>
        <w:spacing w:after="140" w:before="360"/>
      </w:pPr>
      <w:r>
        <w:rPr>
          <w:rFonts w:ascii="Georgia" w:cs="Georgia" w:eastAsia="Georgia" w:hAnsi="Georgia"/>
          <w:color w:val="8C5A2B"/>
          <w:sz w:val="26"/>
          <w:szCs w:val="26"/>
        </w:rPr>
        <w:t xml:space="preserve">A — Vorprüfung: die Mindestbedingungen</w:t>
      </w:r>
    </w:p>
    <w:p>
      <w:pPr>
        <w:spacing w:after="120" w:before="0"/>
      </w:pPr>
      <w:r>
        <w:rPr>
          <w:rFonts w:ascii="Aptos" w:cs="Aptos" w:eastAsia="Aptos" w:hAnsi="Aptos"/>
          <w:b w:val="false"/>
          <w:bCs w:val="false"/>
          <w:i w:val="false"/>
          <w:iCs w:val="false"/>
          <w:color w:val="1A1A1A"/>
          <w:sz w:val="21"/>
          <w:szCs w:val="21"/>
        </w:rPr>
        <w:t xml:space="preserve">Diese Prüfung kostet nichts und dauert Minuten. Sie findet vor der Angebotsanforderung statt, nicht danach. Eine Stelle, die hier ausfällt, wird nicht bewertet — sie wird ausgeschlossen.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120"/>
        <w:gridCol w:w="1735"/>
        <w:gridCol w:w="1542"/>
        <w:gridCol w:w="2120"/>
        <w:gridCol w:w="2121"/>
      </w:tblGrid>
      <w:tr>
        <w:trPr>
          <w:tblHeader/>
        </w:trPr>
        <w:tc>
          <w:tcPr>
            <w:tcW w:type="dxa" w:w="2120"/>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Stelle</w:t>
            </w:r>
          </w:p>
        </w:tc>
        <w:tc>
          <w:tcPr>
            <w:tcW w:type="dxa" w:w="1735"/>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Akkreditierung Nr.</w:t>
            </w:r>
          </w:p>
        </w:tc>
        <w:tc>
          <w:tcPr>
            <w:tcW w:type="dxa" w:w="1542"/>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Im Register geprüft am</w:t>
            </w:r>
          </w:p>
        </w:tc>
        <w:tc>
          <w:tcPr>
            <w:tcW w:type="dxa" w:w="2120"/>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Sektorcode für Hotellerie und Tourismus geführt?</w:t>
            </w:r>
          </w:p>
        </w:tc>
        <w:tc>
          <w:tcPr>
            <w:tcW w:type="dxa" w:w="2121"/>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Qualifiziert / ausgeschlossen</w:t>
            </w:r>
          </w:p>
        </w:tc>
      </w:tr>
      <w:tr>
        <w:trPr>
          <w:trHeight w:val="700" w:hRule="atLeast"/>
        </w:trPr>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700" w:hRule="atLeast"/>
        </w:trPr>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73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0"/>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2121"/>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p>
      <w:pPr>
        <w:spacing w:after="60" w:before="200"/>
      </w:pPr>
      <w:r>
        <w:rPr>
          <w:rFonts w:ascii="Aptos" w:cs="Aptos" w:eastAsia="Aptos" w:hAnsi="Aptos"/>
          <w:b/>
          <w:bCs/>
          <w:i w:val="false"/>
          <w:iCs w:val="false"/>
          <w:color w:val="8C5A2B"/>
          <w:sz w:val="21"/>
          <w:szCs w:val="21"/>
        </w:rPr>
        <w:t xml:space="preserve">Wo die Akkreditierung nachgeschlagen wird</w:t>
      </w:r>
    </w:p>
    <w:p>
      <w:pPr>
        <w:pStyle w:val="ListParagraph"/>
        <w:numPr>
          <w:ilvl w:val="0"/>
          <w:numId w:val="2"/>
        </w:numPr>
        <w:spacing w:after="80" w:before="0"/>
      </w:pPr>
      <w:r>
        <w:rPr>
          <w:rFonts w:ascii="Aptos" w:cs="Aptos" w:eastAsia="Aptos" w:hAnsi="Aptos"/>
          <w:color w:val="1A1A1A"/>
          <w:sz w:val="21"/>
          <w:szCs w:val="21"/>
        </w:rPr>
        <w:t xml:space="preserve">Deutschland: das Register der nationalen Akkreditierungsstelle DAkkS.</w:t>
      </w:r>
    </w:p>
    <w:p>
      <w:pPr>
        <w:pStyle w:val="ListParagraph"/>
        <w:numPr>
          <w:ilvl w:val="0"/>
          <w:numId w:val="2"/>
        </w:numPr>
        <w:spacing w:after="80" w:before="0"/>
      </w:pPr>
      <w:r>
        <w:rPr>
          <w:rFonts w:ascii="Aptos" w:cs="Aptos" w:eastAsia="Aptos" w:hAnsi="Aptos"/>
          <w:color w:val="1A1A1A"/>
          <w:sz w:val="21"/>
          <w:szCs w:val="21"/>
        </w:rPr>
        <w:t xml:space="preserve">Österreich: das Register von Akkreditierung Austria.</w:t>
      </w:r>
    </w:p>
    <w:p>
      <w:pPr>
        <w:pStyle w:val="ListParagraph"/>
        <w:numPr>
          <w:ilvl w:val="0"/>
          <w:numId w:val="2"/>
        </w:numPr>
        <w:spacing w:after="80" w:before="0"/>
      </w:pPr>
      <w:r>
        <w:rPr>
          <w:rFonts w:ascii="Aptos" w:cs="Aptos" w:eastAsia="Aptos" w:hAnsi="Aptos"/>
          <w:color w:val="1A1A1A"/>
          <w:sz w:val="21"/>
          <w:szCs w:val="21"/>
        </w:rPr>
        <w:t xml:space="preserve">Schweiz: das Register der Schweizerischen Akkreditierungsstelle SAS.</w:t>
      </w:r>
    </w:p>
    <w:p>
      <w:pPr>
        <w:pStyle w:val="ListParagraph"/>
        <w:numPr>
          <w:ilvl w:val="0"/>
          <w:numId w:val="2"/>
        </w:numPr>
        <w:spacing w:after="80" w:before="0"/>
      </w:pPr>
      <w:r>
        <w:rPr>
          <w:rFonts w:ascii="Aptos" w:cs="Aptos" w:eastAsia="Aptos" w:hAnsi="Aptos"/>
          <w:color w:val="1A1A1A"/>
          <w:sz w:val="21"/>
          <w:szCs w:val="21"/>
        </w:rPr>
        <w:t xml:space="preserve">Jede akkreditierte Stelle führt dort eine Akkreditierungsnummer mit der Liste der Sektoren, für die sie akkreditiert ist. Der IAF-Sektorcode 39 umfasst Hotellerie und Tourismus.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9BBA6" w:sz="4"/>
              <w:left w:val="single" w:color="C9BBA6" w:sz="4"/>
              <w:bottom w:val="single" w:color="C9BBA6" w:sz="4"/>
              <w:right w:val="single" w:color="C9BBA6" w:sz="4"/>
            </w:tcBorders>
            <w:shd w:fill="8C5A2B" w:color="auto" w:val="clear"/>
            <w:tcMar>
              <w:top w:type="dxa" w:w="160"/>
              <w:left w:type="dxa" w:w="160"/>
              <w:bottom w:type="dxa" w:w="160"/>
              <w:right w:type="dxa" w:w="160"/>
            </w:tcMar>
          </w:tcPr>
          <w:p>
            <w:pPr>
              <w:spacing w:after="60" w:before="0"/>
            </w:pPr>
            <w:r>
              <w:rPr>
                <w:rFonts w:ascii="Aptos" w:cs="Aptos" w:eastAsia="Aptos" w:hAnsi="Aptos"/>
                <w:b/>
                <w:bCs/>
                <w:i w:val="false"/>
                <w:iCs w:val="false"/>
                <w:color w:val="FFFFFF"/>
                <w:sz w:val="20"/>
                <w:szCs w:val="20"/>
              </w:rPr>
              <w:t xml:space="preserve">Warum diese Reihenfolge nicht verhandelbar ist.</w:t>
            </w:r>
          </w:p>
          <w:p>
            <w:pPr>
              <w:spacing w:after="0" w:before="0"/>
            </w:pPr>
            <w:r>
              <w:rPr>
                <w:rFonts w:ascii="Aptos" w:cs="Aptos" w:eastAsia="Aptos" w:hAnsi="Aptos"/>
                <w:b w:val="false"/>
                <w:bCs w:val="false"/>
                <w:i w:val="false"/>
                <w:iCs w:val="false"/>
                <w:color w:val="F7F1E6"/>
                <w:sz w:val="19"/>
                <w:szCs w:val="19"/>
              </w:rPr>
              <w:t xml:space="preserve">Ein Zertifikat einer nicht akkreditierten Stelle ist billiger und wird von Corporate-Kunden mit strukturierten Lieferantenprogrammen, von ESG-Ratingplattformen und von Finanzierungsgebern mit formalen Kriterien nicht anerkannt. Es kostet, ohne den Wert zu erzeugen, für den es gekauft wurde — und das fällt regelmäßig erst dann auf, wenn ein Kunde es zurückweist.</w:t>
            </w:r>
          </w:p>
        </w:tc>
      </w:tr>
    </w:tbl>
    <w:p>
      <w:pPr>
        <w:spacing w:after="1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B — Die Bewertungsmatrix</w:t>
      </w:r>
    </w:p>
    <w:p>
      <w:pPr>
        <w:spacing w:after="120" w:before="0"/>
      </w:pPr>
      <w:r>
        <w:rPr>
          <w:rFonts w:ascii="Aptos" w:cs="Aptos" w:eastAsia="Aptos" w:hAnsi="Aptos"/>
          <w:b w:val="false"/>
          <w:bCs w:val="false"/>
          <w:i w:val="false"/>
          <w:iCs w:val="false"/>
          <w:color w:val="1A1A1A"/>
          <w:sz w:val="21"/>
          <w:szCs w:val="21"/>
        </w:rPr>
        <w:t xml:space="preserve">Nur qualifizierte Stellen kommen in diese Tabelle. Gewichtung von 1 bis 3 nach der Lage des eigenen Hauses; Bewertung von 0 bis 5 je Stelle; die gewichtete Summe entscheidet nicht allein, macht aber sichtbar, worauf die Entscheidung beruht.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855"/>
        <w:gridCol w:w="1157"/>
        <w:gridCol w:w="1542"/>
        <w:gridCol w:w="1542"/>
        <w:gridCol w:w="1542"/>
      </w:tblGrid>
      <w:tr>
        <w:trPr>
          <w:tblHeader/>
        </w:trPr>
        <w:tc>
          <w:tcPr>
            <w:tcW w:type="dxa" w:w="3855"/>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Kriterium</w:t>
            </w:r>
          </w:p>
        </w:tc>
        <w:tc>
          <w:tcPr>
            <w:tcW w:type="dxa" w:w="1157"/>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Gewicht 1–3</w:t>
            </w:r>
          </w:p>
        </w:tc>
        <w:tc>
          <w:tcPr>
            <w:tcW w:type="dxa" w:w="1542"/>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Stelle 1</w:t>
            </w:r>
          </w:p>
        </w:tc>
        <w:tc>
          <w:tcPr>
            <w:tcW w:type="dxa" w:w="1542"/>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Stelle 2</w:t>
            </w:r>
          </w:p>
        </w:tc>
        <w:tc>
          <w:tcPr>
            <w:tcW w:type="dxa" w:w="1542"/>
            <w:tcBorders>
              <w:top w:val="single" w:color="C9BBA6" w:sz="4"/>
              <w:left w:val="single" w:color="C9BBA6" w:sz="4"/>
              <w:bottom w:val="single" w:color="C9BBA6" w:sz="4"/>
              <w:right w:val="single" w:color="C9BBA6" w:sz="4"/>
            </w:tcBorders>
            <w:shd w:fill="8C5A2B" w:color="auto" w:val="clear"/>
            <w:tcMar>
              <w:top w:type="dxa" w:w="90"/>
              <w:left w:type="dxa" w:w="110"/>
              <w:bottom w:type="dxa" w:w="90"/>
              <w:right w:type="dxa" w:w="110"/>
            </w:tcMar>
          </w:tcPr>
          <w:p>
            <w:pPr>
              <w:spacing w:after="0" w:before="0"/>
            </w:pPr>
            <w:r>
              <w:rPr>
                <w:rFonts w:ascii="Aptos" w:cs="Aptos" w:eastAsia="Aptos" w:hAnsi="Aptos"/>
                <w:b/>
                <w:bCs/>
                <w:i w:val="false"/>
                <w:iCs w:val="false"/>
                <w:color w:val="FFFFFF"/>
                <w:sz w:val="18"/>
                <w:szCs w:val="18"/>
              </w:rPr>
              <w:t xml:space="preserve">Stelle 3</w:t>
            </w:r>
          </w:p>
        </w:tc>
      </w:tr>
      <w:tr>
        <w:trPr>
          <w:trHeight w:val="560" w:hRule="atLeast"/>
        </w:trPr>
        <w:tc>
          <w:tcPr>
            <w:tcW w:type="dxa" w:w="3855"/>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Nachgewiesene Erfahrung des VORGESCHLAGENEN Auditors im Beherbergungssektor</w:t>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560" w:hRule="atLeast"/>
        </w:trPr>
        <w:tc>
          <w:tcPr>
            <w:tcW w:type="dxa" w:w="3855"/>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Referenzen in Beherbergungsstrukturen der letzten drei Jahre</w:t>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560" w:hRule="atLeast"/>
        </w:trPr>
        <w:tc>
          <w:tcPr>
            <w:tcW w:type="dxa" w:w="3855"/>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Anerkennung im Referenzmarkt des Hauses (Corporate, MICE, Finanzierung)</w:t>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560" w:hRule="atLeast"/>
        </w:trPr>
        <w:tc>
          <w:tcPr>
            <w:tcW w:type="dxa" w:w="3855"/>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Geplante Auditdauer im Verhältnis zum branchenüblichen Mindestwert</w:t>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560" w:hRule="atLeast"/>
        </w:trPr>
        <w:tc>
          <w:tcPr>
            <w:tcW w:type="dxa" w:w="3855"/>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Anteil an Begehung, Beobachtung und Personalinterviews gegenüber reiner Dokumentenprüfung</w:t>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560" w:hRule="atLeast"/>
        </w:trPr>
        <w:tc>
          <w:tcPr>
            <w:tcW w:type="dxa" w:w="3855"/>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Dargelegtes Vorgehen zur Revision 2026 und zur Übergangsprüfung</w:t>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560" w:hRule="atLeast"/>
        </w:trPr>
        <w:tc>
          <w:tcPr>
            <w:tcW w:type="dxa" w:w="3855"/>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Zugesagte Kontinuität des Auditor-Teams über den Dreijahreszyklus</w:t>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560" w:hRule="atLeast"/>
        </w:trPr>
        <w:tc>
          <w:tcPr>
            <w:tcW w:type="dxa" w:w="3855"/>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Abdeckung aller Standorte, bei Häusern in mehreren Ländern</w:t>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560" w:hRule="atLeast"/>
        </w:trPr>
        <w:tc>
          <w:tcPr>
            <w:tcW w:type="dxa" w:w="3855"/>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Erreichbarkeit und Reaktionszeit zwischen den Audits</w:t>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560" w:hRule="atLeast"/>
        </w:trPr>
        <w:tc>
          <w:tcPr>
            <w:tcW w:type="dxa" w:w="3855"/>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Gesamtkosten über drei Jahre: Erstzertifizierung und zwei Überwachungsaudits</w:t>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560" w:hRule="atLeast"/>
        </w:trPr>
        <w:tc>
          <w:tcPr>
            <w:tcW w:type="dxa" w:w="3855"/>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GEWICHTETE SUMME</w:t>
            </w:r>
          </w:p>
        </w:tc>
        <w:tc>
          <w:tcPr>
            <w:tcW w:type="dxa" w:w="1157"/>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c>
          <w:tcPr>
            <w:tcW w:type="dxa" w:w="1542"/>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9BBA6" w:sz="4"/>
              <w:left w:val="single" w:color="C9BBA6" w:sz="4"/>
              <w:bottom w:val="single" w:color="C9BBA6" w:sz="4"/>
              <w:right w:val="single" w:color="C9BBA6" w:sz="4"/>
            </w:tcBorders>
            <w:shd w:fill="8C5A2B" w:color="auto" w:val="clear"/>
            <w:tcMar>
              <w:top w:type="dxa" w:w="160"/>
              <w:left w:type="dxa" w:w="160"/>
              <w:bottom w:type="dxa" w:w="160"/>
              <w:right w:type="dxa" w:w="160"/>
            </w:tcMar>
          </w:tcPr>
          <w:p>
            <w:pPr>
              <w:spacing w:after="60" w:before="0"/>
            </w:pPr>
            <w:r>
              <w:rPr>
                <w:rFonts w:ascii="Aptos" w:cs="Aptos" w:eastAsia="Aptos" w:hAnsi="Aptos"/>
                <w:b/>
                <w:bCs/>
                <w:i w:val="false"/>
                <w:iCs w:val="false"/>
                <w:color w:val="FFFFFF"/>
                <w:sz w:val="20"/>
                <w:szCs w:val="20"/>
              </w:rPr>
              <w:t xml:space="preserve">Zum letzten Kriterium.</w:t>
            </w:r>
          </w:p>
          <w:p>
            <w:pPr>
              <w:spacing w:after="0" w:before="0"/>
            </w:pPr>
            <w:r>
              <w:rPr>
                <w:rFonts w:ascii="Aptos" w:cs="Aptos" w:eastAsia="Aptos" w:hAnsi="Aptos"/>
                <w:b w:val="false"/>
                <w:bCs w:val="false"/>
                <w:i w:val="false"/>
                <w:iCs w:val="false"/>
                <w:color w:val="F7F1E6"/>
                <w:sz w:val="19"/>
                <w:szCs w:val="19"/>
              </w:rPr>
              <w:t xml:space="preserve">Die Kosten stehen absichtlich unten und nicht oben. Sie gehören in die Bewertung — kein Haus entscheidet ohne sie —, aber als eine Zeile unter zehn und über drei Jahre gerechnet, nicht als erster Filter. Wer nach Preis vorsortiert, bewertet anschließend nur noch die Stellen, die am wenigsten Zeit im Haus verbringen wollen.</w:t>
            </w:r>
          </w:p>
        </w:tc>
      </w:tr>
    </w:tbl>
    <w:p>
      <w:pPr>
        <w:spacing w:after="160" w:before="0"/>
      </w:pPr>
      <w:r>
        <w:rPr>
          <w:rFonts w:ascii="Aptos" w:cs="Aptos" w:eastAsia="Aptos" w:hAnsi="Aptos"/>
          <w:b w:val="false"/>
          <w:bCs w:val="false"/>
          <w:i w:val="false"/>
          <w:iCs w:val="false"/>
          <w:color w:val="1A1A1A"/>
          <w:sz w:val="21"/>
          <w:szCs w:val="21"/>
        </w:rPr>
        <w:t xml:space="preserve"/>
      </w:r>
    </w:p>
    <w:p>
      <w:pPr>
        <w:spacing w:after="60" w:before="200"/>
      </w:pPr>
      <w:r>
        <w:rPr>
          <w:rFonts w:ascii="Aptos" w:cs="Aptos" w:eastAsia="Aptos" w:hAnsi="Aptos"/>
          <w:b/>
          <w:bCs/>
          <w:i w:val="false"/>
          <w:iCs w:val="false"/>
          <w:color w:val="8C5A2B"/>
          <w:sz w:val="21"/>
          <w:szCs w:val="21"/>
        </w:rPr>
        <w:t xml:space="preserve">Das Kriterium, das am meisten unterscheidet</w:t>
      </w:r>
    </w:p>
    <w:p>
      <w:pPr>
        <w:spacing w:after="120" w:before="0"/>
      </w:pPr>
      <w:r>
        <w:rPr>
          <w:rFonts w:ascii="Aptos" w:cs="Aptos" w:eastAsia="Aptos" w:hAnsi="Aptos"/>
          <w:b w:val="false"/>
          <w:bCs w:val="false"/>
          <w:i w:val="false"/>
          <w:iCs w:val="false"/>
          <w:color w:val="1A1A1A"/>
          <w:sz w:val="21"/>
          <w:szCs w:val="21"/>
        </w:rPr>
        <w:t xml:space="preserve">Die erste Zeile ist die wirksamste des ganzen Verfahrens, und sie wird am häufigsten weggelassen. Der Lebenslauf der Stelle als Unternehmen sagt nichts über die Qualität des Audits; der Lebenslauf des Auditors, der tatsächlich in Ihr Haus kommt, sagt fast alles. Eine große Stelle mit einem Auditor ohne Hotelerfahrung liefert ein schwächeres Audit als eine kleinere Stelle mit einem Auditor, der den Sektor seit zehn Jahren kennt. Fordern Sie diesen Lebenslauf ausdrücklich an — namentlich, nicht als Profil eines Auditorenpools.</w:t>
      </w:r>
    </w:p>
    <w:p>
      <w:pPr>
        <w:pBdr>
          <w:bottom w:val="single" w:color="C9BBA6" w:sz="6" w:space="4"/>
        </w:pBdr>
        <w:spacing w:after="140" w:before="360"/>
      </w:pPr>
      <w:r>
        <w:rPr>
          <w:rFonts w:ascii="Georgia" w:cs="Georgia" w:eastAsia="Georgia" w:hAnsi="Georgia"/>
          <w:color w:val="8C5A2B"/>
          <w:sz w:val="26"/>
          <w:szCs w:val="26"/>
        </w:rPr>
        <w:t xml:space="preserve">C — Der Auswahlfragebogen</w:t>
      </w:r>
    </w:p>
    <w:p>
      <w:pPr>
        <w:spacing w:after="120" w:before="0"/>
      </w:pPr>
      <w:r>
        <w:rPr>
          <w:rFonts w:ascii="Aptos" w:cs="Aptos" w:eastAsia="Aptos" w:hAnsi="Aptos"/>
          <w:b w:val="false"/>
          <w:bCs w:val="false"/>
          <w:i w:val="false"/>
          <w:iCs w:val="false"/>
          <w:color w:val="1A1A1A"/>
          <w:sz w:val="21"/>
          <w:szCs w:val="21"/>
        </w:rPr>
        <w:t xml:space="preserve">An jede qualifizierte Stelle zusammen mit der Angebotsanforderung zu senden. Die Fragen sind so gestellt, dass die Antworten vergleichbar werden; eine Stelle, die auf mehrere davon ausweichend antwortet, hat damit bereits eine Auskunft gegeben.</w:t>
      </w:r>
    </w:p>
    <w:p>
      <w:pPr>
        <w:spacing w:after="60" w:before="200"/>
      </w:pPr>
      <w:r>
        <w:rPr>
          <w:rFonts w:ascii="Aptos" w:cs="Aptos" w:eastAsia="Aptos" w:hAnsi="Aptos"/>
          <w:b/>
          <w:bCs/>
          <w:i w:val="false"/>
          <w:iCs w:val="false"/>
          <w:color w:val="8C5A2B"/>
          <w:sz w:val="21"/>
          <w:szCs w:val="21"/>
        </w:rPr>
        <w:t xml:space="preserve">I. Akkreditierung und Geltungsbereich</w:t>
      </w:r>
    </w:p>
    <w:p>
      <w:pPr>
        <w:pStyle w:val="ListParagraph"/>
        <w:numPr>
          <w:ilvl w:val="0"/>
          <w:numId w:val="2"/>
        </w:numPr>
        <w:spacing w:after="80" w:before="0"/>
      </w:pPr>
      <w:r>
        <w:rPr>
          <w:rFonts w:ascii="Aptos" w:cs="Aptos" w:eastAsia="Aptos" w:hAnsi="Aptos"/>
          <w:color w:val="1A1A1A"/>
          <w:sz w:val="21"/>
          <w:szCs w:val="21"/>
        </w:rPr>
        <w:t xml:space="preserve">Unter welcher Nummer und bei welcher nationalen Akkreditierungsstelle sind Sie akkreditiert, und für welche Sektoren?</w:t>
      </w:r>
    </w:p>
    <w:p>
      <w:pPr>
        <w:pStyle w:val="ListParagraph"/>
        <w:numPr>
          <w:ilvl w:val="0"/>
          <w:numId w:val="2"/>
        </w:numPr>
        <w:spacing w:after="80" w:before="0"/>
      </w:pPr>
      <w:r>
        <w:rPr>
          <w:rFonts w:ascii="Aptos" w:cs="Aptos" w:eastAsia="Aptos" w:hAnsi="Aptos"/>
          <w:color w:val="1A1A1A"/>
          <w:sz w:val="21"/>
          <w:szCs w:val="21"/>
        </w:rPr>
        <w:t xml:space="preserve">Deckt Ihre Akkreditierung alle Standorte ab, die in unseren Geltungsbereich fallen?</w:t>
      </w:r>
    </w:p>
    <w:p>
      <w:pPr>
        <w:pStyle w:val="ListParagraph"/>
        <w:numPr>
          <w:ilvl w:val="0"/>
          <w:numId w:val="2"/>
        </w:numPr>
        <w:spacing w:after="80" w:before="0"/>
      </w:pPr>
      <w:r>
        <w:rPr>
          <w:rFonts w:ascii="Aptos" w:cs="Aptos" w:eastAsia="Aptos" w:hAnsi="Aptos"/>
          <w:color w:val="1A1A1A"/>
          <w:sz w:val="21"/>
          <w:szCs w:val="21"/>
        </w:rPr>
        <w:t xml:space="preserve">Bestehen Einschränkungen oder laufende Verfahren, die den Geltungsbereich betreffen?</w:t>
      </w:r>
    </w:p>
    <w:p>
      <w:pPr>
        <w:spacing w:after="60" w:before="200"/>
      </w:pPr>
      <w:r>
        <w:rPr>
          <w:rFonts w:ascii="Aptos" w:cs="Aptos" w:eastAsia="Aptos" w:hAnsi="Aptos"/>
          <w:b/>
          <w:bCs/>
          <w:i w:val="false"/>
          <w:iCs w:val="false"/>
          <w:color w:val="8C5A2B"/>
          <w:sz w:val="21"/>
          <w:szCs w:val="21"/>
        </w:rPr>
        <w:t xml:space="preserve">II. Der vorgeschlagene Auditor</w:t>
      </w:r>
    </w:p>
    <w:p>
      <w:pPr>
        <w:pStyle w:val="ListParagraph"/>
        <w:numPr>
          <w:ilvl w:val="0"/>
          <w:numId w:val="2"/>
        </w:numPr>
        <w:spacing w:after="80" w:before="0"/>
      </w:pPr>
      <w:r>
        <w:rPr>
          <w:rFonts w:ascii="Aptos" w:cs="Aptos" w:eastAsia="Aptos" w:hAnsi="Aptos"/>
          <w:color w:val="1A1A1A"/>
          <w:sz w:val="21"/>
          <w:szCs w:val="21"/>
        </w:rPr>
        <w:t xml:space="preserve">Wer ist der namentlich für unser Haus vorgesehene Auditor? Bitte den Lebenslauf beifügen.</w:t>
      </w:r>
    </w:p>
    <w:p>
      <w:pPr>
        <w:pStyle w:val="ListParagraph"/>
        <w:numPr>
          <w:ilvl w:val="0"/>
          <w:numId w:val="2"/>
        </w:numPr>
        <w:spacing w:after="80" w:before="0"/>
      </w:pPr>
      <w:r>
        <w:rPr>
          <w:rFonts w:ascii="Aptos" w:cs="Aptos" w:eastAsia="Aptos" w:hAnsi="Aptos"/>
          <w:color w:val="1A1A1A"/>
          <w:sz w:val="21"/>
          <w:szCs w:val="21"/>
        </w:rPr>
        <w:t xml:space="preserve">Wie viele Audits in Beherbergungsstrukturen hat diese Person in den letzten drei Jahren geleitet?</w:t>
      </w:r>
    </w:p>
    <w:p>
      <w:pPr>
        <w:pStyle w:val="ListParagraph"/>
        <w:numPr>
          <w:ilvl w:val="0"/>
          <w:numId w:val="2"/>
        </w:numPr>
        <w:spacing w:after="80" w:before="0"/>
      </w:pPr>
      <w:r>
        <w:rPr>
          <w:rFonts w:ascii="Aptos" w:cs="Aptos" w:eastAsia="Aptos" w:hAnsi="Aptos"/>
          <w:color w:val="1A1A1A"/>
          <w:sz w:val="21"/>
          <w:szCs w:val="21"/>
        </w:rPr>
        <w:t xml:space="preserve">Welche Sprachen spricht sie? In welcher Sprache werden die Interviews mit dem Personal geführt?</w:t>
      </w:r>
    </w:p>
    <w:p>
      <w:pPr>
        <w:pStyle w:val="ListParagraph"/>
        <w:numPr>
          <w:ilvl w:val="0"/>
          <w:numId w:val="2"/>
        </w:numPr>
        <w:spacing w:after="80" w:before="0"/>
      </w:pPr>
      <w:r>
        <w:rPr>
          <w:rFonts w:ascii="Aptos" w:cs="Aptos" w:eastAsia="Aptos" w:hAnsi="Aptos"/>
          <w:color w:val="1A1A1A"/>
          <w:sz w:val="21"/>
          <w:szCs w:val="21"/>
        </w:rPr>
        <w:t xml:space="preserve">Wer führt die Überwachungsaudits der Folgejahre — dieselbe Person?</w:t>
      </w:r>
    </w:p>
    <w:p>
      <w:pPr>
        <w:pStyle w:val="ListParagraph"/>
        <w:numPr>
          <w:ilvl w:val="0"/>
          <w:numId w:val="2"/>
        </w:numPr>
        <w:spacing w:after="80" w:before="0"/>
      </w:pPr>
      <w:r>
        <w:rPr>
          <w:rFonts w:ascii="Aptos" w:cs="Aptos" w:eastAsia="Aptos" w:hAnsi="Aptos"/>
          <w:color w:val="1A1A1A"/>
          <w:sz w:val="21"/>
          <w:szCs w:val="21"/>
        </w:rPr>
        <w:t xml:space="preserve">Was geschieht, wenn diese Person nicht verfügbar ist: Wie wird ersetzt, und werden wir vorher informiert?</w:t>
      </w:r>
    </w:p>
    <w:p>
      <w:pPr>
        <w:spacing w:after="60" w:before="200"/>
      </w:pPr>
      <w:r>
        <w:rPr>
          <w:rFonts w:ascii="Aptos" w:cs="Aptos" w:eastAsia="Aptos" w:hAnsi="Aptos"/>
          <w:b/>
          <w:bCs/>
          <w:i w:val="false"/>
          <w:iCs w:val="false"/>
          <w:color w:val="8C5A2B"/>
          <w:sz w:val="21"/>
          <w:szCs w:val="21"/>
        </w:rPr>
        <w:t xml:space="preserve">III. Referenzen</w:t>
      </w:r>
    </w:p>
    <w:p>
      <w:pPr>
        <w:pStyle w:val="ListParagraph"/>
        <w:numPr>
          <w:ilvl w:val="0"/>
          <w:numId w:val="2"/>
        </w:numPr>
        <w:spacing w:after="80" w:before="0"/>
      </w:pPr>
      <w:r>
        <w:rPr>
          <w:rFonts w:ascii="Aptos" w:cs="Aptos" w:eastAsia="Aptos" w:hAnsi="Aptos"/>
          <w:color w:val="1A1A1A"/>
          <w:sz w:val="21"/>
          <w:szCs w:val="21"/>
        </w:rPr>
        <w:t xml:space="preserve">Nennen Sie zwei Beherbergungsstrukturen vergleichbarer Größe, die wir als Referenz kontaktieren dürfen.</w:t>
      </w:r>
    </w:p>
    <w:p>
      <w:pPr>
        <w:pStyle w:val="ListParagraph"/>
        <w:numPr>
          <w:ilvl w:val="0"/>
          <w:numId w:val="2"/>
        </w:numPr>
        <w:spacing w:after="80" w:before="0"/>
      </w:pPr>
      <w:r>
        <w:rPr>
          <w:rFonts w:ascii="Aptos" w:cs="Aptos" w:eastAsia="Aptos" w:hAnsi="Aptos"/>
          <w:color w:val="1A1A1A"/>
          <w:sz w:val="21"/>
          <w:szCs w:val="21"/>
        </w:rPr>
        <w:t xml:space="preserve">Zertifizieren Sie derzeit Häuser in unserer Region oder unserem Kanton?</w:t>
      </w:r>
    </w:p>
    <w:p>
      <w:pPr>
        <w:spacing w:after="60" w:before="200"/>
      </w:pPr>
      <w:r>
        <w:rPr>
          <w:rFonts w:ascii="Aptos" w:cs="Aptos" w:eastAsia="Aptos" w:hAnsi="Aptos"/>
          <w:b/>
          <w:bCs/>
          <w:i w:val="false"/>
          <w:iCs w:val="false"/>
          <w:color w:val="8C5A2B"/>
          <w:sz w:val="21"/>
          <w:szCs w:val="21"/>
        </w:rPr>
        <w:t xml:space="preserve">IV. Auditplanung und Dauer</w:t>
      </w:r>
    </w:p>
    <w:p>
      <w:pPr>
        <w:pStyle w:val="ListParagraph"/>
        <w:numPr>
          <w:ilvl w:val="0"/>
          <w:numId w:val="2"/>
        </w:numPr>
        <w:spacing w:after="80" w:before="0"/>
      </w:pPr>
      <w:r>
        <w:rPr>
          <w:rFonts w:ascii="Aptos" w:cs="Aptos" w:eastAsia="Aptos" w:hAnsi="Aptos"/>
          <w:color w:val="1A1A1A"/>
          <w:sz w:val="21"/>
          <w:szCs w:val="21"/>
        </w:rPr>
        <w:t xml:space="preserve">Wie viele Auditortage sehen Sie für Stufe 1 und Stufe 2 vor, und wie leiten Sie diese Dauer her?</w:t>
      </w:r>
    </w:p>
    <w:p>
      <w:pPr>
        <w:pStyle w:val="ListParagraph"/>
        <w:numPr>
          <w:ilvl w:val="0"/>
          <w:numId w:val="2"/>
        </w:numPr>
        <w:spacing w:after="80" w:before="0"/>
      </w:pPr>
      <w:r>
        <w:rPr>
          <w:rFonts w:ascii="Aptos" w:cs="Aptos" w:eastAsia="Aptos" w:hAnsi="Aptos"/>
          <w:color w:val="1A1A1A"/>
          <w:sz w:val="21"/>
          <w:szCs w:val="21"/>
        </w:rPr>
        <w:t xml:space="preserve">Wie verteilt sich die Zeit auf Dokumentenprüfung, Begehung und Interviews?</w:t>
      </w:r>
    </w:p>
    <w:p>
      <w:pPr>
        <w:pStyle w:val="ListParagraph"/>
        <w:numPr>
          <w:ilvl w:val="0"/>
          <w:numId w:val="2"/>
        </w:numPr>
        <w:spacing w:after="80" w:before="0"/>
      </w:pPr>
      <w:r>
        <w:rPr>
          <w:rFonts w:ascii="Aptos" w:cs="Aptos" w:eastAsia="Aptos" w:hAnsi="Aptos"/>
          <w:color w:val="1A1A1A"/>
          <w:sz w:val="21"/>
          <w:szCs w:val="21"/>
        </w:rPr>
        <w:t xml:space="preserve">In welcher Saison schlagen Sie das Audit vor, und warum?</w:t>
      </w:r>
    </w:p>
    <w:p>
      <w:pPr>
        <w:pStyle w:val="ListParagraph"/>
        <w:numPr>
          <w:ilvl w:val="0"/>
          <w:numId w:val="2"/>
        </w:numPr>
        <w:spacing w:after="80" w:before="0"/>
      </w:pPr>
      <w:r>
        <w:rPr>
          <w:rFonts w:ascii="Aptos" w:cs="Aptos" w:eastAsia="Aptos" w:hAnsi="Aptos"/>
          <w:color w:val="1A1A1A"/>
          <w:sz w:val="21"/>
          <w:szCs w:val="21"/>
        </w:rPr>
        <w:t xml:space="preserve">Wie viele Personen umfasst das Auditteam, und in welcher Rolle?</w:t>
      </w:r>
    </w:p>
    <w:p>
      <w:pPr>
        <w:spacing w:after="60" w:before="200"/>
      </w:pPr>
      <w:r>
        <w:rPr>
          <w:rFonts w:ascii="Aptos" w:cs="Aptos" w:eastAsia="Aptos" w:hAnsi="Aptos"/>
          <w:b/>
          <w:bCs/>
          <w:i w:val="false"/>
          <w:iCs w:val="false"/>
          <w:color w:val="8C5A2B"/>
          <w:sz w:val="21"/>
          <w:szCs w:val="21"/>
        </w:rPr>
        <w:t xml:space="preserve">V. Umgang mit der Revision 2026</w:t>
      </w:r>
    </w:p>
    <w:p>
      <w:pPr>
        <w:pStyle w:val="ListParagraph"/>
        <w:numPr>
          <w:ilvl w:val="0"/>
          <w:numId w:val="2"/>
        </w:numPr>
        <w:spacing w:after="80" w:before="0"/>
      </w:pPr>
      <w:r>
        <w:rPr>
          <w:rFonts w:ascii="Aptos" w:cs="Aptos" w:eastAsia="Aptos" w:hAnsi="Aptos"/>
          <w:color w:val="1A1A1A"/>
          <w:sz w:val="21"/>
          <w:szCs w:val="21"/>
        </w:rPr>
        <w:t xml:space="preserve">Wie prüfen Sie den Übergang von der Ausgabe 2015 auf die Ausgabe 2026?</w:t>
      </w:r>
    </w:p>
    <w:p>
      <w:pPr>
        <w:pStyle w:val="ListParagraph"/>
        <w:numPr>
          <w:ilvl w:val="0"/>
          <w:numId w:val="2"/>
        </w:numPr>
        <w:spacing w:after="80" w:before="0"/>
      </w:pPr>
      <w:r>
        <w:rPr>
          <w:rFonts w:ascii="Aptos" w:cs="Aptos" w:eastAsia="Aptos" w:hAnsi="Aptos"/>
          <w:color w:val="1A1A1A"/>
          <w:sz w:val="21"/>
          <w:szCs w:val="21"/>
        </w:rPr>
        <w:t xml:space="preserve">Welche Bereiche der Revision prüfen Sie bei einem Hotel mit besonderer Aufmerksamkeit?</w:t>
      </w:r>
    </w:p>
    <w:p>
      <w:pPr>
        <w:pStyle w:val="ListParagraph"/>
        <w:numPr>
          <w:ilvl w:val="0"/>
          <w:numId w:val="2"/>
        </w:numPr>
        <w:spacing w:after="80" w:before="0"/>
      </w:pPr>
      <w:r>
        <w:rPr>
          <w:rFonts w:ascii="Aptos" w:cs="Aptos" w:eastAsia="Aptos" w:hAnsi="Aptos"/>
          <w:color w:val="1A1A1A"/>
          <w:sz w:val="21"/>
          <w:szCs w:val="21"/>
        </w:rPr>
        <w:t xml:space="preserve">Bis wann muss unser System auf die neue Ausgabe umgestellt sein, damit Ihr Zeitplan eingehalten wird?</w:t>
      </w:r>
    </w:p>
    <w:p>
      <w:pPr>
        <w:spacing w:after="60" w:before="200"/>
      </w:pPr>
      <w:r>
        <w:rPr>
          <w:rFonts w:ascii="Aptos" w:cs="Aptos" w:eastAsia="Aptos" w:hAnsi="Aptos"/>
          <w:b/>
          <w:bCs/>
          <w:i w:val="false"/>
          <w:iCs w:val="false"/>
          <w:color w:val="8C5A2B"/>
          <w:sz w:val="21"/>
          <w:szCs w:val="21"/>
        </w:rPr>
        <w:t xml:space="preserve">VI. Anerkennung im Markt</w:t>
      </w:r>
    </w:p>
    <w:p>
      <w:pPr>
        <w:pStyle w:val="ListParagraph"/>
        <w:numPr>
          <w:ilvl w:val="0"/>
          <w:numId w:val="2"/>
        </w:numPr>
        <w:spacing w:after="80" w:before="0"/>
      </w:pPr>
      <w:r>
        <w:rPr>
          <w:rFonts w:ascii="Aptos" w:cs="Aptos" w:eastAsia="Aptos" w:hAnsi="Aptos"/>
          <w:color w:val="1A1A1A"/>
          <w:sz w:val="21"/>
          <w:szCs w:val="21"/>
        </w:rPr>
        <w:t xml:space="preserve">Sind Sie in den Lieferantenprogrammen großer Unternehmen als anerkannter Zertifizierer geführt? Bitte Beispiele nennen.</w:t>
      </w:r>
    </w:p>
    <w:p>
      <w:pPr>
        <w:pStyle w:val="ListParagraph"/>
        <w:numPr>
          <w:ilvl w:val="0"/>
          <w:numId w:val="2"/>
        </w:numPr>
        <w:spacing w:after="80" w:before="0"/>
      </w:pPr>
      <w:r>
        <w:rPr>
          <w:rFonts w:ascii="Aptos" w:cs="Aptos" w:eastAsia="Aptos" w:hAnsi="Aptos"/>
          <w:color w:val="1A1A1A"/>
          <w:sz w:val="21"/>
          <w:szCs w:val="21"/>
        </w:rPr>
        <w:t xml:space="preserve">Wird Ihr Zertifikat von Buchungs- und Veranstaltungsplattformen in deren Nachhaltigkeitsbewertungen berücksichtigt?</w:t>
      </w:r>
    </w:p>
    <w:p>
      <w:pPr>
        <w:spacing w:after="60" w:before="200"/>
      </w:pPr>
      <w:r>
        <w:rPr>
          <w:rFonts w:ascii="Aptos" w:cs="Aptos" w:eastAsia="Aptos" w:hAnsi="Aptos"/>
          <w:b/>
          <w:bCs/>
          <w:i w:val="false"/>
          <w:iCs w:val="false"/>
          <w:color w:val="8C5A2B"/>
          <w:sz w:val="21"/>
          <w:szCs w:val="21"/>
        </w:rPr>
        <w:t xml:space="preserve">VII. Kosten und Vertrag</w:t>
      </w:r>
    </w:p>
    <w:p>
      <w:pPr>
        <w:pStyle w:val="ListParagraph"/>
        <w:numPr>
          <w:ilvl w:val="0"/>
          <w:numId w:val="2"/>
        </w:numPr>
        <w:spacing w:after="80" w:before="0"/>
      </w:pPr>
      <w:r>
        <w:rPr>
          <w:rFonts w:ascii="Aptos" w:cs="Aptos" w:eastAsia="Aptos" w:hAnsi="Aptos"/>
          <w:color w:val="1A1A1A"/>
          <w:sz w:val="21"/>
          <w:szCs w:val="21"/>
        </w:rPr>
        <w:t xml:space="preserve">Gesamtkosten über drei Jahre: Erstzertifizierung, zwei Überwachungsaudits, Ausstellung und Führung des Zertifikats.</w:t>
      </w:r>
    </w:p>
    <w:p>
      <w:pPr>
        <w:pStyle w:val="ListParagraph"/>
        <w:numPr>
          <w:ilvl w:val="0"/>
          <w:numId w:val="2"/>
        </w:numPr>
        <w:spacing w:after="80" w:before="0"/>
      </w:pPr>
      <w:r>
        <w:rPr>
          <w:rFonts w:ascii="Aptos" w:cs="Aptos" w:eastAsia="Aptos" w:hAnsi="Aptos"/>
          <w:color w:val="1A1A1A"/>
          <w:sz w:val="21"/>
          <w:szCs w:val="21"/>
        </w:rPr>
        <w:t xml:space="preserve">Welche Leistungen sind nicht enthalten — Reisezeit, Spesen, Nachaudits, außerplanmäßige Prüfungen?</w:t>
      </w:r>
    </w:p>
    <w:p>
      <w:pPr>
        <w:pStyle w:val="ListParagraph"/>
        <w:numPr>
          <w:ilvl w:val="0"/>
          <w:numId w:val="2"/>
        </w:numPr>
        <w:spacing w:after="80" w:before="0"/>
      </w:pPr>
      <w:r>
        <w:rPr>
          <w:rFonts w:ascii="Aptos" w:cs="Aptos" w:eastAsia="Aptos" w:hAnsi="Aptos"/>
          <w:color w:val="1A1A1A"/>
          <w:sz w:val="21"/>
          <w:szCs w:val="21"/>
        </w:rPr>
        <w:t xml:space="preserve">Welche Kosten entstehen bei einer Abweichung, die ein Nachaudit erforderlich macht?</w:t>
      </w:r>
    </w:p>
    <w:p>
      <w:pPr>
        <w:pStyle w:val="ListParagraph"/>
        <w:numPr>
          <w:ilvl w:val="0"/>
          <w:numId w:val="2"/>
        </w:numPr>
        <w:spacing w:after="80" w:before="0"/>
      </w:pPr>
      <w:r>
        <w:rPr>
          <w:rFonts w:ascii="Aptos" w:cs="Aptos" w:eastAsia="Aptos" w:hAnsi="Aptos"/>
          <w:color w:val="1A1A1A"/>
          <w:sz w:val="21"/>
          <w:szCs w:val="21"/>
        </w:rPr>
        <w:t xml:space="preserve">Welche Kündigungs- und Wechselbedingungen gelten?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9BBA6" w:sz="4"/>
              <w:left w:val="single" w:color="C9BBA6" w:sz="4"/>
              <w:bottom w:val="single" w:color="C9BBA6" w:sz="4"/>
              <w:right w:val="single" w:color="C9BBA6" w:sz="4"/>
            </w:tcBorders>
            <w:shd w:fill="8C5A2B" w:color="auto" w:val="clear"/>
            <w:tcMar>
              <w:top w:type="dxa" w:w="160"/>
              <w:left w:type="dxa" w:w="160"/>
              <w:bottom w:type="dxa" w:w="160"/>
              <w:right w:type="dxa" w:w="160"/>
            </w:tcMar>
          </w:tcPr>
          <w:p>
            <w:pPr>
              <w:spacing w:after="60" w:before="0"/>
            </w:pPr>
            <w:r>
              <w:rPr>
                <w:rFonts w:ascii="Aptos" w:cs="Aptos" w:eastAsia="Aptos" w:hAnsi="Aptos"/>
                <w:b/>
                <w:bCs/>
                <w:i w:val="false"/>
                <w:iCs w:val="false"/>
                <w:color w:val="FFFFFF"/>
                <w:sz w:val="20"/>
                <w:szCs w:val="20"/>
              </w:rPr>
              <w:t xml:space="preserve">Eine Frage, die Sie nicht der Stelle stellen.</w:t>
            </w:r>
          </w:p>
          <w:p>
            <w:pPr>
              <w:spacing w:after="0" w:before="0"/>
            </w:pPr>
            <w:r>
              <w:rPr>
                <w:rFonts w:ascii="Aptos" w:cs="Aptos" w:eastAsia="Aptos" w:hAnsi="Aptos"/>
                <w:b w:val="false"/>
                <w:bCs w:val="false"/>
                <w:i w:val="false"/>
                <w:iCs w:val="false"/>
                <w:color w:val="F7F1E6"/>
                <w:sz w:val="19"/>
                <w:szCs w:val="19"/>
              </w:rPr>
              <w:t xml:space="preserve">Welche Zertifizierer Ihr wichtigster Firmenkunde in seinem Lieferantenprogramm akzeptiert, fragen Sie beim Kunden — nicht beim Zertifizierer. Es ist ein Anruf beim Einkauf, er dauert zehn Minuten, und er entscheidet häufiger über den kommerziellen Wert des Zertifikats als alles andere in diesem Fragebogen.</w:t>
            </w:r>
          </w:p>
        </w:tc>
      </w:tr>
    </w:tbl>
    <w:p>
      <w:pPr>
        <w:spacing w:after="1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D — Die Entscheidungsnotiz</w:t>
      </w:r>
    </w:p>
    <w:p>
      <w:pPr>
        <w:spacing w:after="120" w:before="0"/>
      </w:pPr>
      <w:r>
        <w:rPr>
          <w:rFonts w:ascii="Aptos" w:cs="Aptos" w:eastAsia="Aptos" w:hAnsi="Aptos"/>
          <w:b w:val="false"/>
          <w:bCs w:val="false"/>
          <w:i w:val="false"/>
          <w:iCs w:val="false"/>
          <w:color w:val="1A1A1A"/>
          <w:sz w:val="21"/>
          <w:szCs w:val="21"/>
        </w:rPr>
        <w:t xml:space="preserve">Zwei Seiten für die Geschäftsführung, die die Wahl begründen und archivieren. Sie ist der Grund, warum diese Entscheidung in drei Jahren noch nachvollziehbar ist — auch wenn die Person, die sie getroffen hat, dann nicht mehr im Haus ist.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373"/>
        <w:gridCol w:w="6265"/>
      </w:tblGrid>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Bewertete Stellen und Ergebnis der Vorprüfung</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Angewandte Kriterien und ihre Gewichtung</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Gewählte Stelle und tragende Gründe</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Preisunterschied zum günstigsten Angebot über drei Jahre</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Erwarteter Mehrwert, der diesen Unterschied rechtfertigt</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Name des vereinbarten Auditors</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Erstellt von — Name, Datum</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r>
        <w:trPr>
          <w:trHeight w:val="460" w:hRule="atLeast"/>
        </w:trPr>
        <w:tc>
          <w:tcPr>
            <w:tcW w:type="dxa" w:w="3373"/>
            <w:tcBorders>
              <w:top w:val="single" w:color="C9BBA6" w:sz="4"/>
              <w:left w:val="single" w:color="C9BBA6" w:sz="4"/>
              <w:bottom w:val="single" w:color="C9BBA6" w:sz="4"/>
              <w:right w:val="single" w:color="C9BBA6" w:sz="4"/>
            </w:tcBorders>
            <w:shd w:fill="EFE7DC" w:color="auto" w:val="clear"/>
            <w:tcMar>
              <w:top w:type="dxa" w:w="90"/>
              <w:left w:type="dxa" w:w="110"/>
              <w:bottom w:type="dxa" w:w="90"/>
              <w:right w:type="dxa" w:w="110"/>
            </w:tcMar>
          </w:tcPr>
          <w:p>
            <w:pPr>
              <w:spacing w:after="0" w:before="0"/>
            </w:pPr>
            <w:r>
              <w:rPr>
                <w:rFonts w:ascii="Aptos" w:cs="Aptos" w:eastAsia="Aptos" w:hAnsi="Aptos"/>
                <w:b/>
                <w:bCs/>
                <w:i w:val="false"/>
                <w:iCs w:val="false"/>
                <w:color w:val="8C5A2B"/>
                <w:sz w:val="19"/>
                <w:szCs w:val="19"/>
              </w:rPr>
              <w:t xml:space="preserve">Genehmigt von — Name, Datum, Unterschrift</w:t>
            </w:r>
          </w:p>
        </w:tc>
        <w:tc>
          <w:tcPr>
            <w:tcW w:type="dxa" w:w="6265"/>
            <w:tcBorders>
              <w:top w:val="single" w:color="C9BBA6" w:sz="4"/>
              <w:left w:val="single" w:color="C9BBA6" w:sz="4"/>
              <w:bottom w:val="single" w:color="C9BBA6" w:sz="4"/>
              <w:right w:val="single" w:color="C9BBA6" w:sz="4"/>
            </w:tcBorders>
            <w:tcMar>
              <w:top w:type="dxa" w:w="90"/>
              <w:left w:type="dxa" w:w="110"/>
              <w:bottom w:type="dxa" w:w="90"/>
              <w:right w:type="dxa" w:w="110"/>
            </w:tcMar>
          </w:tcPr>
          <w:p>
            <w:pPr>
              <w:spacing w:after="0" w:before="0"/>
            </w:pPr>
            <w:r>
              <w:rPr>
                <w:rFonts w:ascii="Aptos" w:cs="Aptos" w:eastAsia="Aptos" w:hAnsi="Aptos"/>
                <w:b w:val="false"/>
                <w:bCs w:val="false"/>
                <w:i w:val="false"/>
                <w:iCs w:val="false"/>
                <w:color w:val="1A1A1A"/>
                <w:sz w:val="19"/>
                <w:szCs w:val="19"/>
              </w:rPr>
              <w:t xml:space="preserve"/>
            </w:r>
          </w:p>
        </w:tc>
      </w:tr>
    </w:tbl>
    <w:p>
      <w:pPr>
        <w:spacing w:after="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E — Was über den Zyklus zu beobachten ist</w:t>
      </w:r>
    </w:p>
    <w:p>
      <w:pPr>
        <w:spacing w:after="120" w:before="0"/>
      </w:pPr>
      <w:r>
        <w:rPr>
          <w:rFonts w:ascii="Aptos" w:cs="Aptos" w:eastAsia="Aptos" w:hAnsi="Aptos"/>
          <w:b w:val="false"/>
          <w:bCs w:val="false"/>
          <w:i w:val="false"/>
          <w:iCs w:val="false"/>
          <w:color w:val="1A1A1A"/>
          <w:sz w:val="21"/>
          <w:szCs w:val="21"/>
        </w:rPr>
        <w:t xml:space="preserve">Die Wahl endet nicht mit der Unterschrift. Diese drei Beobachtungen entscheiden, ob sie beim nächsten Zyklus bestätigt oder revidiert wird.</w:t>
      </w:r>
    </w:p>
    <w:p>
      <w:pPr>
        <w:pStyle w:val="ListParagraph"/>
        <w:numPr>
          <w:ilvl w:val="0"/>
          <w:numId w:val="2"/>
        </w:numPr>
        <w:spacing w:after="80" w:before="0"/>
      </w:pPr>
      <w:r>
        <w:rPr>
          <w:rFonts w:ascii="Aptos" w:cs="Aptos" w:eastAsia="Aptos" w:hAnsi="Aptos"/>
          <w:color w:val="1A1A1A"/>
          <w:sz w:val="21"/>
          <w:szCs w:val="21"/>
        </w:rPr>
        <w:t xml:space="preserve">Treffen die Feststellungen des Audits die tatsächlichen Schwachstellen des Hauses, oder bleiben sie bei allgemeiner Klauselkonformität?</w:t>
      </w:r>
    </w:p>
    <w:p>
      <w:pPr>
        <w:pStyle w:val="ListParagraph"/>
        <w:numPr>
          <w:ilvl w:val="0"/>
          <w:numId w:val="2"/>
        </w:numPr>
        <w:spacing w:after="80" w:before="0"/>
      </w:pPr>
      <w:r>
        <w:rPr>
          <w:rFonts w:ascii="Aptos" w:cs="Aptos" w:eastAsia="Aptos" w:hAnsi="Aptos"/>
          <w:color w:val="1A1A1A"/>
          <w:sz w:val="21"/>
          <w:szCs w:val="21"/>
        </w:rPr>
        <w:t xml:space="preserve">Haben die Beobachtungen dem Haus etwas beigebracht, das es vorher nicht wusste?</w:t>
      </w:r>
    </w:p>
    <w:p>
      <w:pPr>
        <w:pStyle w:val="ListParagraph"/>
        <w:numPr>
          <w:ilvl w:val="0"/>
          <w:numId w:val="2"/>
        </w:numPr>
        <w:spacing w:after="80" w:before="0"/>
      </w:pPr>
      <w:r>
        <w:rPr>
          <w:rFonts w:ascii="Aptos" w:cs="Aptos" w:eastAsia="Aptos" w:hAnsi="Aptos"/>
          <w:color w:val="1A1A1A"/>
          <w:sz w:val="21"/>
          <w:szCs w:val="21"/>
        </w:rPr>
        <w:t xml:space="preserve">Ist das Zertifikat in neu gewonnenen Verträgen tatsächlich anerkannt worden?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9BBA6" w:sz="4"/>
              <w:left w:val="single" w:color="C9BBA6" w:sz="4"/>
              <w:bottom w:val="single" w:color="C9BBA6" w:sz="4"/>
              <w:right w:val="single" w:color="C9BBA6" w:sz="4"/>
            </w:tcBorders>
            <w:shd w:fill="8C5A2B" w:color="auto" w:val="clear"/>
            <w:tcMar>
              <w:top w:type="dxa" w:w="160"/>
              <w:left w:type="dxa" w:w="160"/>
              <w:bottom w:type="dxa" w:w="160"/>
              <w:right w:type="dxa" w:w="160"/>
            </w:tcMar>
          </w:tcPr>
          <w:p>
            <w:pPr>
              <w:spacing w:after="60" w:before="0"/>
            </w:pPr>
            <w:r>
              <w:rPr>
                <w:rFonts w:ascii="Aptos" w:cs="Aptos" w:eastAsia="Aptos" w:hAnsi="Aptos"/>
                <w:b/>
                <w:bCs/>
                <w:i w:val="false"/>
                <w:iCs w:val="false"/>
                <w:color w:val="FFFFFF"/>
                <w:sz w:val="20"/>
                <w:szCs w:val="20"/>
              </w:rPr>
              <w:t xml:space="preserve">Vor dem Wechsel aus Kostengründen.</w:t>
            </w:r>
          </w:p>
          <w:p>
            <w:pPr>
              <w:spacing w:after="0" w:before="0"/>
            </w:pPr>
            <w:r>
              <w:rPr>
                <w:rFonts w:ascii="Aptos" w:cs="Aptos" w:eastAsia="Aptos" w:hAnsi="Aptos"/>
                <w:b w:val="false"/>
                <w:bCs w:val="false"/>
                <w:i w:val="false"/>
                <w:iCs w:val="false"/>
                <w:color w:val="F7F1E6"/>
                <w:sz w:val="19"/>
                <w:szCs w:val="19"/>
              </w:rPr>
              <w:t xml:space="preserve">Ein Auditor, der das System seit der Erstzertifizierung kennt, sieht die Entwicklungslinie — wo das Haus herkommt, was es beim letzten Mal versprochen hat, was davon eingelöst wurde. Diese Kenntnis ist bei jedem Wechsel verloren und wird über einen Zyklus neu aufgebaut. Rechnen Sie sie gegen die Ersparnis, bevor Sie wechseln.</w:t>
            </w:r>
          </w:p>
        </w:tc>
      </w:tr>
    </w:tbl>
    <w:p>
      <w:pPr>
        <w:spacing w:after="160" w:before="0"/>
      </w:pPr>
      <w:r>
        <w:rPr>
          <w:rFonts w:ascii="Aptos" w:cs="Aptos" w:eastAsia="Aptos" w:hAnsi="Aptos"/>
          <w:b w:val="false"/>
          <w:bCs w:val="false"/>
          <w:i w:val="false"/>
          <w:iCs w:val="false"/>
          <w:color w:val="1A1A1A"/>
          <w:sz w:val="21"/>
          <w:szCs w:val="21"/>
        </w:rPr>
        <w:t xml:space="preserve"/>
      </w:r>
    </w:p>
    <w:p>
      <w:pPr>
        <w:pBdr>
          <w:bottom w:val="single" w:color="C9BBA6" w:sz="6" w:space="4"/>
        </w:pBdr>
        <w:spacing w:after="140" w:before="360"/>
      </w:pPr>
      <w:r>
        <w:rPr>
          <w:rFonts w:ascii="Georgia" w:cs="Georgia" w:eastAsia="Georgia" w:hAnsi="Georgia"/>
          <w:color w:val="8C5A2B"/>
          <w:sz w:val="26"/>
          <w:szCs w:val="26"/>
        </w:rPr>
        <w:t xml:space="preserve">Was diese Vorlage nicht ist</w:t>
      </w:r>
    </w:p>
    <w:p>
      <w:pPr>
        <w:spacing w:after="120" w:before="0"/>
      </w:pPr>
      <w:r>
        <w:rPr>
          <w:rFonts w:ascii="Aptos" w:cs="Aptos" w:eastAsia="Aptos" w:hAnsi="Aptos"/>
          <w:b w:val="false"/>
          <w:bCs w:val="false"/>
          <w:i w:val="false"/>
          <w:iCs w:val="false"/>
          <w:color w:val="5A5A5A"/>
          <w:sz w:val="19"/>
          <w:szCs w:val="19"/>
        </w:rPr>
        <w:t xml:space="preserve">Sie ist keine Anforderung der ISO 14001. Die Norm regelt die Wahl der Zertifizierungsstelle nicht; der normative Rahmen für die Stellen selbst liegt in den einschlägigen Normen zur Akkreditierung und zur Auditorkompetenz. Diese Vorlage ist ein Verfahren, keine Vorschrift.</w:t>
      </w:r>
    </w:p>
    <w:p>
      <w:pPr>
        <w:spacing w:after="120" w:before="0"/>
      </w:pPr>
      <w:r>
        <w:rPr>
          <w:rFonts w:ascii="Aptos" w:cs="Aptos" w:eastAsia="Aptos" w:hAnsi="Aptos"/>
          <w:b w:val="false"/>
          <w:bCs w:val="false"/>
          <w:i w:val="false"/>
          <w:iCs w:val="false"/>
          <w:color w:val="5A5A5A"/>
          <w:sz w:val="19"/>
          <w:szCs w:val="19"/>
        </w:rPr>
        <w:t xml:space="preserve">Sie enthält bewusst keine Empfehlung und keine Rangliste einzelner Zertifizierungsstellen. Unterkapitel 4.2 beschreibt den DACH-Markt und seine Anbieter; die Bewertung selbst gehört dem Haus, das sie trifft, und richtet sich nach dessen Standorten, Kunden und Märkten.</w:t>
      </w:r>
    </w:p>
    <w:p>
      <w:pPr>
        <w:spacing w:after="120" w:before="0"/>
      </w:pPr>
      <w:r>
        <w:rPr>
          <w:rFonts w:ascii="Aptos" w:cs="Aptos" w:eastAsia="Aptos" w:hAnsi="Aptos"/>
          <w:b w:val="false"/>
          <w:bCs w:val="false"/>
          <w:i w:val="false"/>
          <w:iCs w:val="false"/>
          <w:color w:val="5A5A5A"/>
          <w:sz w:val="19"/>
          <w:szCs w:val="19"/>
        </w:rPr>
        <w:t xml:space="preserve">Sie ist keine Beratung, keine Zertifizierung und keine Rechtsauskunft für Ihre Rechtsordnung. Angaben zu Registern, Sektorcodes und Auditdauern sind zum Zeitpunkt der Erstellung geprüft und vor der Verwendung an der jeweiligen Primärquelle nachzuschlagen.</w:t>
      </w:r>
    </w:p>
    <w:p>
      <w:pPr>
        <w:spacing w:after="120" w:before="120"/>
      </w:pPr>
      <w:r>
        <w:rPr>
          <w:rFonts w:ascii="Aptos" w:cs="Aptos" w:eastAsia="Aptos" w:hAnsi="Aptos"/>
          <w:b w:val="false"/>
          <w:bCs w:val="false"/>
          <w:i w:val="false"/>
          <w:iCs w:val="false"/>
          <w:color w:val="8C5A2B"/>
          <w:sz w:val="18"/>
          <w:szCs w:val="18"/>
        </w:rPr>
        <w:t xml:space="preserve">Das Steuer und die Lupe · Edizioni Effedore · buecher.effedore.com · August 2026</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2026-08-09T04:14:47.598Z</dcterms:created>
  <dcterms:modified xsi:type="dcterms:W3CDTF">2026-08-09T04:14:47.598Z</dcterms:modified>
</cp:coreProperties>
</file>

<file path=docProps/custom.xml><?xml version="1.0" encoding="utf-8"?>
<Properties xmlns="http://schemas.openxmlformats.org/officeDocument/2006/custom-properties" xmlns:vt="http://schemas.openxmlformats.org/officeDocument/2006/docPropsVTypes"/>
</file>