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rFonts w:ascii="Aptos" w:cs="Aptos" w:eastAsia="Aptos" w:hAnsi="Aptos"/>
          <w:b/>
          <w:bCs/>
          <w:color w:val="7A6A55"/>
          <w:spacing w:val="28"/>
          <w:sz w:val="18"/>
          <w:szCs w:val="18"/>
        </w:rPr>
        <w:t xml:space="preserve">EDIZIONI EFFEDORE · «DAS STEUER UND DIE LUPE» · BAND 1 — ISO 14001:2026 · DOWNLOADABLE</w:t>
      </w:r>
    </w:p>
    <w:p>
      <w:pPr>
        <w:pBdr>
          <w:bottom w:val="single" w:color="C9BBA6" w:sz="6" w:space="6"/>
        </w:pBdr>
        <w:spacing w:after="80" w:before="60"/>
      </w:pPr>
      <w:r>
        <w:rPr>
          <w:rFonts w:ascii="Aptos" w:cs="Aptos" w:eastAsia="Aptos" w:hAnsi="Aptos"/>
          <w:b/>
          <w:bCs/>
          <w:color w:val="8C5A2B"/>
          <w:sz w:val="36"/>
          <w:szCs w:val="36"/>
        </w:rPr>
        <w:t xml:space="preserve">Doku 2.7 — Klimaresilienzplanung: Szenarien und Kontingenz</w:t>
      </w:r>
    </w:p>
    <w:p>
      <w:pPr>
        <w:spacing w:after="120" w:line="270"/>
      </w:pPr>
      <w:r>
        <w:rPr>
          <w:rFonts w:ascii="Aptos" w:cs="Aptos" w:eastAsia="Aptos" w:hAnsi="Aptos"/>
          <w:i/>
          <w:iCs/>
          <w:color w:val="7A6A55"/>
          <w:sz w:val="21"/>
          <w:szCs w:val="21"/>
        </w:rPr>
        <w:t xml:space="preserve">Begleitmaterial zum Unterkapitel 2.7 · buecher.effedore.com/das-steuer-und-die-lupe-iso-140012026-doku-2-7/</w:t>
      </w:r>
    </w:p>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Zweck dieser Seite:  </w:t>
      </w:r>
      <w:r>
        <w:rPr>
          <w:rFonts w:ascii="Aptos" w:cs="Aptos" w:eastAsia="Aptos" w:hAnsi="Aptos"/>
          <w:color w:val="3A3A3A"/>
          <w:sz w:val="22"/>
          <w:szCs w:val="22"/>
        </w:rPr>
        <w:t xml:space="preserve">Dieses Paket stellt drei einsatzbereite Werkzeuge zur Verfügung, die im Unterkapitel 2.7 des Bandes 1 erwähnt werden — ein Kontingenzplan-Template für alpine Hotelstrukturen im DACH-Raum, eine Übersicht der Warndienste und Alarmprotokolle der drei nationalen Wetter- und Naturgefahrendienste, und die Grundlagen für eine Integration der Lawinenwarnung in die betrieblichen Abläufe. Ziel: die operative Übersetzung des präventiven Ansatzes der ISO 14001:2026 in Verfahren, die die Struktur bei plötzlichen und schleichenden klimatischen Belastungen handlungsfähig halten.</w:t>
      </w:r>
    </w:p>
    <w:p>
      <w:pPr>
        <w:spacing w:after="150" w:line="280"/>
        <w:jc w:val="both"/>
      </w:pPr>
      <w:r>
        <w:rPr>
          <w:rFonts w:ascii="Aptos" w:cs="Aptos" w:eastAsia="Aptos" w:hAnsi="Aptos"/>
          <w:color w:val="3A3A3A"/>
          <w:sz w:val="22"/>
          <w:szCs w:val="22"/>
        </w:rPr>
        <w:t xml:space="preserve">Die Materialien sind als Arbeitsvorlagen gedacht. Das Kontingenzplan-Template ist bewusst neutral gehalten und muss je nach Standort, Höhenlage, Öffnungsdauer und Auslastung angepasst werden. Fußnoten und mit „[zu prüfen]“ gekennzeichnete Felder verweisen auf Angaben, die vor der operativen Verwendung an der jeweiligen Primärquelle zu bestätigen sind — gemäß dem Verifikationspakt des Werkes.</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1. Kontingenzplan-Template für alpine Hotelstrukturen</w:t>
      </w:r>
    </w:p>
    <w:p>
      <w:pPr>
        <w:spacing w:after="150" w:line="280"/>
        <w:jc w:val="both"/>
      </w:pPr>
      <w:r>
        <w:rPr>
          <w:rFonts w:ascii="Aptos" w:cs="Aptos" w:eastAsia="Aptos" w:hAnsi="Aptos"/>
          <w:color w:val="3A3A3A"/>
          <w:sz w:val="22"/>
          <w:szCs w:val="22"/>
        </w:rPr>
        <w:t xml:space="preserve">Der Kontingenzplan ist kein Krisenhandbuch, das im Ernstfall gelesen wird — er ist die Vorformulierung von Entscheidungen, die getroffen sind, bevor der Druck einsetzt. Für alpine Strukturen decken sechs Szenarien den größten Teil der realen Belastungen ab. Für jedes Szenario werden Auslöseschwelle, Reaktionsstufe, Zuständigkeit und dokumentarische Nachweise vorab festgelegt.</w:t>
      </w:r>
    </w:p>
    <w:p>
      <w:pPr>
        <w:keepNext/>
        <w:spacing w:after="100" w:before="220"/>
      </w:pPr>
      <w:r>
        <w:rPr>
          <w:rFonts w:ascii="Aptos Display" w:cs="Aptos Display" w:eastAsia="Aptos Display" w:hAnsi="Aptos Display"/>
          <w:b/>
          <w:bCs/>
          <w:color w:val="8C5A2B"/>
          <w:sz w:val="24"/>
          <w:szCs w:val="24"/>
        </w:rPr>
        <w:t xml:space="preserve">Struktur des Kontingenzplans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5300"/>
        <w:gridCol w:w="2000"/>
      </w:tblGrid>
      <w:tr>
        <w:trPr>
          <w:tblHeader/>
        </w:trPr>
        <w:tc>
          <w:tcPr>
            <w:tcW w:type="dxa" w:w="22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Abschnitt</w:t>
            </w:r>
          </w:p>
        </w:tc>
        <w:tc>
          <w:tcPr>
            <w:tcW w:type="dxa" w:w="53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Inhalt</w:t>
            </w:r>
          </w:p>
        </w:tc>
        <w:tc>
          <w:tcPr>
            <w:tcW w:type="dxa" w:w="20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ISO 14001:2026</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Kontext und Anwendungsbereich</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Standort, Höhenlage, Öffnungsdauer, Kapazität, kritische Betriebsabhängigkeiten (Strom, Wasser, Zufahrt).</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4.1 · 4.3</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Szenarien-Katalog</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Sechs plus optional standortspezifische Szenarien mit Auslöseschwellen (siehe unten).</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6.1.1</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Reaktionsstufen</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Grün / Gelb / Orange / Rot — Kriterien für jede Stufe, keine Ermessensspielräume in der Nacht.</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8.2</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Rollen und Zuständigkeiten</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Wer entscheidet was, in welcher Stufe. Vertretung bei Abwesenheit.</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5.3</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Kommunikation</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Interne Kaskade und externe Kommunikation an Gäste, Lieferanten, Behörden.</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7.4</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Ressourcen und Vorräte</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Notstrom, Trinkwasser, Lebensmittelvorrat, Streumittel, Kraftstoff. Mindestmengen je Stufe.</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7.1</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Übungen und Aktualisierung</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Jährliche Simulationsübung; Aktualisierung nach jedem realen Ereignis.</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7.2 · 10.2</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Aufzeichnungen</w:t>
            </w:r>
          </w:p>
        </w:tc>
        <w:tc>
          <w:tcPr>
            <w:tcW w:type="dxa" w:w="5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Ereignisprotokoll, getroffene Entscheidungen, Nachbereitung.</w:t>
            </w:r>
          </w:p>
        </w:tc>
        <w:tc>
          <w:tcPr>
            <w:tcW w:type="dxa" w:w="2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7.5 · 9.1</w:t>
            </w:r>
          </w:p>
        </w:tc>
      </w:tr>
    </w:tbl>
    <w:p>
      <w:pPr>
        <w:keepNext/>
        <w:spacing w:after="100" w:before="220"/>
      </w:pPr>
      <w:r>
        <w:rPr>
          <w:rFonts w:ascii="Aptos Display" w:cs="Aptos Display" w:eastAsia="Aptos Display" w:hAnsi="Aptos Display"/>
          <w:b/>
          <w:bCs/>
          <w:color w:val="8C5A2B"/>
          <w:sz w:val="24"/>
          <w:szCs w:val="24"/>
        </w:rPr>
        <w:t xml:space="preserve">Szenarien-Katalog für alpine Hotelstrukturen</w:t>
      </w:r>
    </w:p>
    <w:p>
      <w:pPr>
        <w:spacing w:after="150" w:line="280"/>
        <w:jc w:val="both"/>
      </w:pPr>
      <w:r>
        <w:rPr>
          <w:rFonts w:ascii="Aptos" w:cs="Aptos" w:eastAsia="Aptos" w:hAnsi="Aptos"/>
          <w:color w:val="3A3A3A"/>
          <w:sz w:val="22"/>
          <w:szCs w:val="22"/>
        </w:rPr>
        <w:t xml:space="preserve">Für jedes Szenario definiert die Struktur eine quantitative Auslöseschwelle (Stufe Gelb / Orange / Rot). Die vorgeschlagenen Schwellen sind Orientierungswerte — sie sind an Höhenlage, Öffnungsphase und Ausstattung anzupassen und mit [zu prüfen] gekennzeichnet, wo sie zu bestätigen sind.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900"/>
        <w:gridCol w:w="1800"/>
      </w:tblGrid>
      <w:tr>
        <w:trPr>
          <w:tblHeader/>
        </w:trPr>
        <w:tc>
          <w:tcPr>
            <w:tcW w:type="dxa" w:w="22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Szenario</w:t>
            </w:r>
          </w:p>
        </w:tc>
        <w:tc>
          <w:tcPr>
            <w:tcW w:type="dxa" w:w="2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Auslöseindikator</w:t>
            </w:r>
          </w:p>
        </w:tc>
        <w:tc>
          <w:tcPr>
            <w:tcW w:type="dxa" w:w="2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Vorgeschlagene Schwellen (Gelb / Orange / Rot)</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Datenquelle</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Hitzeperiode</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Tagesmaxima Trockenkugel, 3 Tage in Folge</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28 / 32 / 35 °C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 / GeoSphere / MeteoSchweiz</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Trockenheit / Wasserknappheit</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Kumulierter Niederschlag der letzten 60 Tage</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–30 / –50 / –70 % vom Normalwert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 SPI / GeoSphere / MeteoSchweiz</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Starkniederschlag / Hochwasser</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24-Stunden-Niederschlagsmenge</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30 / 60 / 100 mm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Warndienste, siehe Abschnitt 2</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Sturm</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Windspitzen 10-Minuten-Mittel</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70 / 90 / 120 km/h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 / GeoSphere / MeteoSchweiz</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Schneelast / Neuschneemenge</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Neuschnee in 72 Stunden</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50 / 80 / 120 cm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SLF / LWZ Bayern / Lawinenwarndienste AT</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Lawinengefahr im Einzugsgebiet</w:t>
            </w:r>
          </w:p>
        </w:tc>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Regionale Lawinenwarnstufe</w:t>
            </w:r>
          </w:p>
        </w:tc>
        <w:tc>
          <w:tcPr>
            <w:tcW w:type="dxa" w:w="2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3 / 4 / 5 (EAWS)</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SLF / LWZ Bayern / Lawinenwarndienste AT</w:t>
            </w:r>
          </w:p>
        </w:tc>
      </w:tr>
    </w:tbl>
    <w:p>
      <w:pPr>
        <w:keepNext/>
        <w:spacing w:after="100" w:before="220"/>
      </w:pPr>
      <w:r>
        <w:rPr>
          <w:rFonts w:ascii="Aptos Display" w:cs="Aptos Display" w:eastAsia="Aptos Display" w:hAnsi="Aptos Display"/>
          <w:b/>
          <w:bCs/>
          <w:color w:val="8C5A2B"/>
          <w:sz w:val="24"/>
          <w:szCs w:val="24"/>
        </w:rPr>
        <w:t xml:space="preserve">Reaktionsstufen — Kriterien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300"/>
        <w:gridCol w:w="3000"/>
        <w:gridCol w:w="5200"/>
      </w:tblGrid>
      <w:tr>
        <w:trPr>
          <w:tblHeader/>
        </w:trPr>
        <w:tc>
          <w:tcPr>
            <w:tcW w:type="dxa" w:w="13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Stufe</w:t>
            </w:r>
          </w:p>
        </w:tc>
        <w:tc>
          <w:tcPr>
            <w:tcW w:type="dxa" w:w="30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Kriterium</w:t>
            </w:r>
          </w:p>
        </w:tc>
        <w:tc>
          <w:tcPr>
            <w:tcW w:type="dxa" w:w="52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Handlungen (Beispiele)</w:t>
            </w:r>
          </w:p>
        </w:tc>
      </w:tr>
      <w:tr>
        <w:tc>
          <w:tcPr>
            <w:tcW w:type="dxa" w:w="1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Grün</w:t>
            </w:r>
          </w:p>
        </w:tc>
        <w:tc>
          <w:tcPr>
            <w:tcW w:type="dxa" w:w="3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Normalbetrieb; präventive Beobachtung.</w:t>
            </w:r>
          </w:p>
        </w:tc>
        <w:tc>
          <w:tcPr>
            <w:tcW w:type="dxa" w:w="5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Regelmäßige Monitoring-Prüfung, keine besonderen Maßnahmen.</w:t>
            </w:r>
          </w:p>
        </w:tc>
      </w:tr>
      <w:tr>
        <w:tc>
          <w:tcPr>
            <w:tcW w:type="dxa" w:w="1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Gelb</w:t>
            </w:r>
          </w:p>
        </w:tc>
        <w:tc>
          <w:tcPr>
            <w:tcW w:type="dxa" w:w="3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Erster Schwellenwert erreicht oder in 48 Stunden erwartet.</w:t>
            </w:r>
          </w:p>
        </w:tc>
        <w:tc>
          <w:tcPr>
            <w:tcW w:type="dxa" w:w="5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Erhöhte Beobachtungsfrequenz, Vorräte prüfen, Betriebsleitung informieren, Vorabinformation an Gäste vorbereiten.</w:t>
            </w:r>
          </w:p>
        </w:tc>
      </w:tr>
      <w:tr>
        <w:tc>
          <w:tcPr>
            <w:tcW w:type="dxa" w:w="1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Orange</w:t>
            </w:r>
          </w:p>
        </w:tc>
        <w:tc>
          <w:tcPr>
            <w:tcW w:type="dxa" w:w="3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Zweiter Schwellenwert erreicht oder in 24 Stunden erwartet.</w:t>
            </w:r>
          </w:p>
        </w:tc>
        <w:tc>
          <w:tcPr>
            <w:tcW w:type="dxa" w:w="5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Reduktion nicht essentieller Verbräuche, Aktivierung Notversorgung, aktive Gästekommunikation, Kontakt zu Behörden und Zulieferern.</w:t>
            </w:r>
          </w:p>
        </w:tc>
      </w:tr>
      <w:tr>
        <w:tc>
          <w:tcPr>
            <w:tcW w:type="dxa" w:w="13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Rot</w:t>
            </w:r>
          </w:p>
        </w:tc>
        <w:tc>
          <w:tcPr>
            <w:tcW w:type="dxa" w:w="3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Kritischer Schwellenwert; unmittelbare Gefahr für Gäste, Personal oder Betrieb.</w:t>
            </w:r>
          </w:p>
        </w:tc>
        <w:tc>
          <w:tcPr>
            <w:tcW w:type="dxa" w:w="5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Notfallverfahren, ggf. Teil- oder Vollschließung, Evakuierung, Zusammenarbeit mit Feuerwehr / Rettung / Polizei.</w:t>
            </w:r>
          </w:p>
        </w:tc>
      </w:tr>
    </w:tbl>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Anmerkung zur Anwendung:  </w:t>
      </w:r>
      <w:r>
        <w:rPr>
          <w:rFonts w:ascii="Aptos" w:cs="Aptos" w:eastAsia="Aptos" w:hAnsi="Aptos"/>
          <w:color w:val="3A3A3A"/>
          <w:sz w:val="22"/>
          <w:szCs w:val="22"/>
        </w:rPr>
        <w:t xml:space="preserve">Die Schwellen sind keine gesetzlichen Grenzwerte, sondern operative Auslöser der eigenen Reaktion. Sie sind so zu wählen, dass Stufe Gelb noch Zeit für Vorbereitung lässt und Stufe Rot nie überrascht. Nach jedem realen Ereignis wird die Angemessenheit der Schwellen im Rahmen der Managementbewertung (9.3) überprüft.</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2. Warndienste und Alarmprotokolle im DACH-Alpenraum</w:t>
      </w:r>
    </w:p>
    <w:p>
      <w:pPr>
        <w:spacing w:after="150" w:line="280"/>
        <w:jc w:val="both"/>
      </w:pPr>
      <w:r>
        <w:rPr>
          <w:rFonts w:ascii="Aptos" w:cs="Aptos" w:eastAsia="Aptos" w:hAnsi="Aptos"/>
          <w:color w:val="3A3A3A"/>
          <w:sz w:val="22"/>
          <w:szCs w:val="22"/>
        </w:rPr>
        <w:t xml:space="preserve">Die drei nationalen Wetterdienste und die spezialisierten Lawinenwarndienste stellen Warnungen mit einer stabilen, maschinenlesbaren Struktur bereit. Damit lässt sich die Auslösung der Reaktionsstufen automatisieren: Der Kontingenzplan wird nicht per Ermessensentscheidung aktiviert, sondern durch den Empfang einer definierten Warnung. Die folgenden Übersichten geben die Struktur der Warnungen und die Bezugsquellen.</w:t>
      </w:r>
    </w:p>
    <w:p>
      <w:pPr>
        <w:keepNext/>
        <w:spacing w:after="100" w:before="220"/>
      </w:pPr>
      <w:r>
        <w:rPr>
          <w:rFonts w:ascii="Aptos Display" w:cs="Aptos Display" w:eastAsia="Aptos Display" w:hAnsi="Aptos Display"/>
          <w:b/>
          <w:bCs/>
          <w:color w:val="8C5A2B"/>
          <w:sz w:val="24"/>
          <w:szCs w:val="24"/>
        </w:rPr>
        <w:t xml:space="preserve">Deutschland — Deutscher Wetterdienst (DWD) und Lawinenwarnzentrale Bayern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400"/>
        <w:gridCol w:w="3500"/>
        <w:gridCol w:w="3600"/>
      </w:tblGrid>
      <w:tr>
        <w:trPr>
          <w:tblHeader/>
        </w:trPr>
        <w:tc>
          <w:tcPr>
            <w:tcW w:type="dxa" w:w="2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Warndienst</w:t>
            </w:r>
          </w:p>
        </w:tc>
        <w:tc>
          <w:tcPr>
            <w:tcW w:type="dxa" w:w="35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Warnstufen / Kategorien</w:t>
            </w:r>
          </w:p>
        </w:tc>
        <w:tc>
          <w:tcPr>
            <w:tcW w:type="dxa" w:w="3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 Protokoll</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DWD Warnwetter-App / WarnMOS</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Vorabinformation → Wetterwarnung Stufe 1 → markante Wetterwarnung Stufe 2 → Unwetterwarnung Stufe 3 → extreme Unwetterwarnung Stufe 4</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dwd.de/warnungen — CAP-XML-Feed (Common Alerting Protocol) und WMS-Dienste; nutzbar für automatische Alarme</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Lawinenwarnzentrale Bayern</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EAWS-Skala 1 (gering) bis 5 (sehr groß)</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lawinenwarndienst-bayern.de — täglicher Lagebericht während der Wintersaison; auch als CAAML-Feed [zu prüfen]</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Hochwassernachrichtendienst Bayern</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Meldestufen 1 bis 4 (Pegelstände)</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hnd.bayern.de — offene Daten, JSON-API, für Kontingenz Starkniederschlag / Hochwasser</w:t>
            </w:r>
          </w:p>
        </w:tc>
      </w:tr>
    </w:tbl>
    <w:p>
      <w:pPr>
        <w:keepNext/>
        <w:spacing w:after="100" w:before="220"/>
      </w:pPr>
      <w:r>
        <w:rPr>
          <w:rFonts w:ascii="Aptos Display" w:cs="Aptos Display" w:eastAsia="Aptos Display" w:hAnsi="Aptos Display"/>
          <w:b/>
          <w:bCs/>
          <w:color w:val="8C5A2B"/>
          <w:sz w:val="24"/>
          <w:szCs w:val="24"/>
        </w:rPr>
        <w:t xml:space="preserve">Österreich — GeoSphere Austria und Lawinenwarndienste der Länder</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400"/>
        <w:gridCol w:w="3500"/>
        <w:gridCol w:w="3600"/>
      </w:tblGrid>
      <w:tr>
        <w:trPr>
          <w:tblHeader/>
        </w:trPr>
        <w:tc>
          <w:tcPr>
            <w:tcW w:type="dxa" w:w="2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Warndienst</w:t>
            </w:r>
          </w:p>
        </w:tc>
        <w:tc>
          <w:tcPr>
            <w:tcW w:type="dxa" w:w="35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Warnstufen / Kategorien</w:t>
            </w:r>
          </w:p>
        </w:tc>
        <w:tc>
          <w:tcPr>
            <w:tcW w:type="dxa" w:w="3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 Protokoll</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GeoSphere Austria Warnungen</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Wetterwarnungen in vier Stufen (gelb, orange, rot, violett)</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warnungen.zamg.at — CAP-Feed und Karten-API; automatische Auslösung möglich</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Lawinenwarndienste der Länder</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EAWS 1–5 (harmonisiert für den gesamten Alpenraum)</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lawinen.report — gemeinsame Plattform Tirol / Südtirol / Trentino; für die anderen Bundesländer: Vorarlberg (vorarlberg.at/lawine), Salzburg (lawine.salzburg.at), Kärnten, Steiermark, Oberösterreich, Niederösterreich</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Hydrographischer Dienst</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Meldestufen für Pegel und Warnungen für Hochwasser</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ehyd.gv.at — Daten; landesspezifische Warnportale für die operative Nutzung</w:t>
            </w:r>
          </w:p>
        </w:tc>
      </w:tr>
    </w:tbl>
    <w:p>
      <w:pPr>
        <w:keepNext/>
        <w:spacing w:after="100" w:before="220"/>
      </w:pPr>
      <w:r>
        <w:rPr>
          <w:rFonts w:ascii="Aptos Display" w:cs="Aptos Display" w:eastAsia="Aptos Display" w:hAnsi="Aptos Display"/>
          <w:b/>
          <w:bCs/>
          <w:color w:val="8C5A2B"/>
          <w:sz w:val="24"/>
          <w:szCs w:val="24"/>
        </w:rPr>
        <w:t xml:space="preserve">Schweiz — MeteoSchweiz und SLF</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400"/>
        <w:gridCol w:w="3500"/>
        <w:gridCol w:w="3600"/>
      </w:tblGrid>
      <w:tr>
        <w:trPr>
          <w:tblHeader/>
        </w:trPr>
        <w:tc>
          <w:tcPr>
            <w:tcW w:type="dxa" w:w="2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Warndienst</w:t>
            </w:r>
          </w:p>
        </w:tc>
        <w:tc>
          <w:tcPr>
            <w:tcW w:type="dxa" w:w="35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Warnstufen / Kategorien</w:t>
            </w:r>
          </w:p>
        </w:tc>
        <w:tc>
          <w:tcPr>
            <w:tcW w:type="dxa" w:w="3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 Protokoll</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MeteoSchweiz Naturgefahrenportal</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Stufe 1 (gering) bis 5 (sehr stark) für Wind, Regen, Schnee, Hitze, Frost, Gewitter</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naturgefahren.ch (gemeinsames Bundesportal) und meteoschweiz.admin.ch — offener CAP-Feed für automatische Auslösung</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SLF Lawinenbulletin</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EAWS 1 (gering) bis 5 (sehr groß), zweimal täglich in der Wintersaison</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slf.ch — Bulletin in vier Sprachen; CAAML-XML-Format für die maschinelle Verarbeitung</w:t>
            </w:r>
          </w:p>
        </w:tc>
      </w:tr>
      <w:tr>
        <w:tc>
          <w:tcPr>
            <w:tcW w:type="dxa" w:w="2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Bundesamt für Umwelt (BAFU)</w:t>
            </w:r>
          </w:p>
        </w:tc>
        <w:tc>
          <w:tcPr>
            <w:tcW w:type="dxa" w:w="35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Hochwasserwarnungen und Waldbrandgefahrenstufen</w:t>
            </w:r>
          </w:p>
        </w:tc>
        <w:tc>
          <w:tcPr>
            <w:tcW w:type="dxa" w:w="3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bafu.admin.ch — Warnungen und Datenfeeds</w:t>
            </w:r>
          </w:p>
        </w:tc>
      </w:tr>
    </w:tbl>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Technischer Hinweis:  </w:t>
      </w:r>
      <w:r>
        <w:rPr>
          <w:rFonts w:ascii="Aptos" w:cs="Aptos" w:eastAsia="Aptos" w:hAnsi="Aptos"/>
          <w:color w:val="3A3A3A"/>
          <w:sz w:val="22"/>
          <w:szCs w:val="22"/>
        </w:rPr>
        <w:t xml:space="preserve">Das Common Alerting Protocol (CAP) ist ein offener OASIS-Standard, den alle drei Wetterdienste des DACH-Raums für ihre Warnungen verwenden. Damit lassen sich Warnungen aus DWD, GeoSphere und MeteoSchweiz einheitlich in ein internes Alarmsystem integrieren. Für Lawinenwarnungen ist das entsprechende Format CAAML (Canadian Avalanche Association Markup Language), international durch die EAWS-Skala 1–5 harmonisiert.</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3. Integration der Lawinenwarnung in den Betrieb</w:t>
      </w:r>
    </w:p>
    <w:p>
      <w:pPr>
        <w:spacing w:after="150" w:line="280"/>
        <w:jc w:val="both"/>
      </w:pPr>
      <w:r>
        <w:rPr>
          <w:rFonts w:ascii="Aptos" w:cs="Aptos" w:eastAsia="Aptos" w:hAnsi="Aptos"/>
          <w:color w:val="3A3A3A"/>
          <w:sz w:val="22"/>
          <w:szCs w:val="22"/>
        </w:rPr>
        <w:t xml:space="preserve">Die Integration der regionalen Lawinenwarnung in die betrieblichen Abläufe geht über den Aushang des Lagebriefs hinaus. Sie umfasst die eindeutige Zuordnung von Handlungen zu jeder Warnstufe, die Kommunikation an Gäste und Personal, die Koordination mit den örtlichen Sicherheitsdiensten (Pistendienst, Bergrettung, Feuerwehr) und die Dokumentation der getroffenen Entscheidungen.</w:t>
      </w:r>
    </w:p>
    <w:p>
      <w:pPr>
        <w:keepNext/>
        <w:spacing w:after="100" w:before="220"/>
      </w:pPr>
      <w:r>
        <w:rPr>
          <w:rFonts w:ascii="Aptos Display" w:cs="Aptos Display" w:eastAsia="Aptos Display" w:hAnsi="Aptos Display"/>
          <w:b/>
          <w:bCs/>
          <w:color w:val="8C5A2B"/>
          <w:sz w:val="24"/>
          <w:szCs w:val="24"/>
        </w:rPr>
        <w:t xml:space="preserve">Handlungsmatrix Lawinenwarnstufen (EAWS)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000"/>
        <w:gridCol w:w="1900"/>
        <w:gridCol w:w="1600"/>
        <w:gridCol w:w="5000"/>
      </w:tblGrid>
      <w:tr>
        <w:trPr>
          <w:tblHeader/>
        </w:trPr>
        <w:tc>
          <w:tcPr>
            <w:tcW w:type="dxa" w:w="10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Stufe</w:t>
            </w:r>
          </w:p>
        </w:tc>
        <w:tc>
          <w:tcPr>
            <w:tcW w:type="dxa" w:w="1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Bezeichnung</w:t>
            </w:r>
          </w:p>
        </w:tc>
        <w:tc>
          <w:tcPr>
            <w:tcW w:type="dxa" w:w="1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Interne Reaktionsstufe</w:t>
            </w:r>
          </w:p>
        </w:tc>
        <w:tc>
          <w:tcPr>
            <w:tcW w:type="dxa" w:w="50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Handlungen (Beispiele)</w:t>
            </w:r>
          </w:p>
        </w:tc>
      </w:tr>
      <w:tr>
        <w:tc>
          <w:tcPr>
            <w:tcW w:type="dxa" w:w="1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1</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gering</w:t>
            </w:r>
          </w:p>
        </w:tc>
        <w:tc>
          <w:tcPr>
            <w:tcW w:type="dxa" w:w="1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Grün</w:t>
            </w:r>
          </w:p>
        </w:tc>
        <w:tc>
          <w:tcPr>
            <w:tcW w:type="dxa" w:w="5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Regelmäßige Beobachtung des Bulletins; keine besonderen Maßnahmen.</w:t>
            </w:r>
          </w:p>
        </w:tc>
      </w:tr>
      <w:tr>
        <w:tc>
          <w:tcPr>
            <w:tcW w:type="dxa" w:w="1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2</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mäßig</w:t>
            </w:r>
          </w:p>
        </w:tc>
        <w:tc>
          <w:tcPr>
            <w:tcW w:type="dxa" w:w="1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Grün / Gelb</w:t>
            </w:r>
          </w:p>
        </w:tc>
        <w:tc>
          <w:tcPr>
            <w:tcW w:type="dxa" w:w="5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Aushang des Lagebriefs, Gästeinformation bei Nachfrage, Beratung für geführte Aktivitäten.</w:t>
            </w:r>
          </w:p>
        </w:tc>
      </w:tr>
      <w:tr>
        <w:tc>
          <w:tcPr>
            <w:tcW w:type="dxa" w:w="1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3</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erheblich</w:t>
            </w:r>
          </w:p>
        </w:tc>
        <w:tc>
          <w:tcPr>
            <w:tcW w:type="dxa" w:w="1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Gelb / Orange</w:t>
            </w:r>
          </w:p>
        </w:tc>
        <w:tc>
          <w:tcPr>
            <w:tcW w:type="dxa" w:w="5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Aktive Gästeinformation, Absage nicht essenzieller Aktivitäten im gefährdeten Gelände, Koordination mit örtlichem Sicherheitsdienst.</w:t>
            </w:r>
          </w:p>
        </w:tc>
      </w:tr>
      <w:tr>
        <w:tc>
          <w:tcPr>
            <w:tcW w:type="dxa" w:w="1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4</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groß</w:t>
            </w:r>
          </w:p>
        </w:tc>
        <w:tc>
          <w:tcPr>
            <w:tcW w:type="dxa" w:w="1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Orange / Rot</w:t>
            </w:r>
          </w:p>
        </w:tc>
        <w:tc>
          <w:tcPr>
            <w:tcW w:type="dxa" w:w="5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Absage geführter Aktivitäten im Freien, Prüfung der Zufahrten, aktive Kommunikation, Vorbereitung auf mögliche Sperren.</w:t>
            </w:r>
          </w:p>
        </w:tc>
      </w:tr>
      <w:tr>
        <w:tc>
          <w:tcPr>
            <w:tcW w:type="dxa" w:w="1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5</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sehr groß</w:t>
            </w:r>
          </w:p>
        </w:tc>
        <w:tc>
          <w:tcPr>
            <w:tcW w:type="dxa" w:w="1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Rot</w:t>
            </w:r>
          </w:p>
        </w:tc>
        <w:tc>
          <w:tcPr>
            <w:tcW w:type="dxa" w:w="50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Aktivierung Notfallverfahren, Prüfung Betriebsschließung / Teilräumung, enge Koordination mit Behörden.</w:t>
            </w:r>
          </w:p>
        </w:tc>
      </w:tr>
    </w:tbl>
    <w:p>
      <w:pPr>
        <w:keepNext/>
        <w:spacing w:after="100" w:before="220"/>
      </w:pPr>
      <w:r>
        <w:rPr>
          <w:rFonts w:ascii="Aptos Display" w:cs="Aptos Display" w:eastAsia="Aptos Display" w:hAnsi="Aptos Display"/>
          <w:b/>
          <w:bCs/>
          <w:color w:val="8C5A2B"/>
          <w:sz w:val="24"/>
          <w:szCs w:val="24"/>
        </w:rPr>
        <w:t xml:space="preserve">Elemente einer wirksamen Integration</w:t>
      </w:r>
    </w:p>
    <w:p>
      <w:pPr>
        <w:pStyle w:val="ListParagraph"/>
        <w:numPr>
          <w:ilvl w:val="0"/>
          <w:numId w:val="1"/>
        </w:numPr>
        <w:spacing w:after="80" w:line="270"/>
      </w:pPr>
      <w:r>
        <w:rPr>
          <w:rFonts w:ascii="Aptos" w:cs="Aptos" w:eastAsia="Aptos" w:hAnsi="Aptos"/>
          <w:color w:val="3A3A3A"/>
          <w:sz w:val="22"/>
          <w:szCs w:val="22"/>
        </w:rPr>
        <w:t xml:space="preserve">Automatischer Empfang des Lawinenbulletins am Morgen (Aushang, interner Bildschirm, App-Benachrichtigung an Verantwortliche).</w:t>
      </w:r>
    </w:p>
    <w:p>
      <w:pPr>
        <w:pStyle w:val="ListParagraph"/>
        <w:numPr>
          <w:ilvl w:val="0"/>
          <w:numId w:val="1"/>
        </w:numPr>
        <w:spacing w:after="80" w:line="270"/>
      </w:pPr>
      <w:r>
        <w:rPr>
          <w:rFonts w:ascii="Aptos" w:cs="Aptos" w:eastAsia="Aptos" w:hAnsi="Aptos"/>
          <w:color w:val="3A3A3A"/>
          <w:sz w:val="22"/>
          <w:szCs w:val="22"/>
        </w:rPr>
        <w:t xml:space="preserve">Verbindliche Zuordnung: welche Handlungen bei welcher Stufe, ohne nächtliche Ermessensentscheidungen.</w:t>
      </w:r>
    </w:p>
    <w:p>
      <w:pPr>
        <w:pStyle w:val="ListParagraph"/>
        <w:numPr>
          <w:ilvl w:val="0"/>
          <w:numId w:val="1"/>
        </w:numPr>
        <w:spacing w:after="80" w:line="270"/>
      </w:pPr>
      <w:r>
        <w:rPr>
          <w:rFonts w:ascii="Aptos" w:cs="Aptos" w:eastAsia="Aptos" w:hAnsi="Aptos"/>
          <w:color w:val="3A3A3A"/>
          <w:sz w:val="22"/>
          <w:szCs w:val="22"/>
        </w:rPr>
        <w:t xml:space="preserve">Dokumentierte Verbindung zum örtlichen Sicherheitsdienst (Skigebiet, Bergrettung, Feuerwehr) mit Erreichbarkeiten rund um die Uhr.</w:t>
      </w:r>
    </w:p>
    <w:p>
      <w:pPr>
        <w:pStyle w:val="ListParagraph"/>
        <w:numPr>
          <w:ilvl w:val="0"/>
          <w:numId w:val="1"/>
        </w:numPr>
        <w:spacing w:after="80" w:line="270"/>
      </w:pPr>
      <w:r>
        <w:rPr>
          <w:rFonts w:ascii="Aptos" w:cs="Aptos" w:eastAsia="Aptos" w:hAnsi="Aptos"/>
          <w:color w:val="3A3A3A"/>
          <w:sz w:val="22"/>
          <w:szCs w:val="22"/>
        </w:rPr>
        <w:t xml:space="preserve">Kommunikationsvorlagen für Gäste — mehrsprachig, sachlich, ohne Panik. Die Vorlagen werden im Voraus schriftlich freigegeben.</w:t>
      </w:r>
    </w:p>
    <w:p>
      <w:pPr>
        <w:pStyle w:val="ListParagraph"/>
        <w:numPr>
          <w:ilvl w:val="0"/>
          <w:numId w:val="1"/>
        </w:numPr>
        <w:spacing w:after="80" w:line="270"/>
      </w:pPr>
      <w:r>
        <w:rPr>
          <w:rFonts w:ascii="Aptos" w:cs="Aptos" w:eastAsia="Aptos" w:hAnsi="Aptos"/>
          <w:color w:val="3A3A3A"/>
          <w:sz w:val="22"/>
          <w:szCs w:val="22"/>
        </w:rPr>
        <w:t xml:space="preserve">Schulung des Personals einmal jährlich vor der Wintersaison — Bulletin lesen, Skala verstehen, Zuordnung zum Kontingenzplan kennen.</w:t>
      </w:r>
    </w:p>
    <w:p>
      <w:pPr>
        <w:pStyle w:val="ListParagraph"/>
        <w:numPr>
          <w:ilvl w:val="0"/>
          <w:numId w:val="1"/>
        </w:numPr>
        <w:spacing w:after="80" w:line="270"/>
      </w:pPr>
      <w:r>
        <w:rPr>
          <w:rFonts w:ascii="Aptos" w:cs="Aptos" w:eastAsia="Aptos" w:hAnsi="Aptos"/>
          <w:color w:val="3A3A3A"/>
          <w:sz w:val="22"/>
          <w:szCs w:val="22"/>
        </w:rPr>
        <w:t xml:space="preserve">Nachbereitung nach jedem Ereignis Stufe ≥3: was hat funktioniert, was nicht, welche Schwellen oder Handlungen sind anzupassen (10.2).</w:t>
      </w:r>
    </w:p>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Grenze des Werkzeugs:  </w:t>
      </w:r>
      <w:r>
        <w:rPr>
          <w:rFonts w:ascii="Aptos" w:cs="Aptos" w:eastAsia="Aptos" w:hAnsi="Aptos"/>
          <w:color w:val="3A3A3A"/>
          <w:sz w:val="22"/>
          <w:szCs w:val="22"/>
        </w:rPr>
        <w:t xml:space="preserve">Dieses Material liefert die betriebliche Anschlussfähigkeit an die offiziellen Warndienste. Es ersetzt weder die Fachbeurteilung durch qualifizierte Bergführer, Skischulen und Pisten- und Rettungsdienste, noch die Einhaltung der örtlichen Sicherheitsvorschriften. Bei akuter Gefahr gilt immer die Weisung der zuständigen Behörden und Einsatzkräfte.</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4. Anschluss an die ISO 14001:2026</w:t>
      </w:r>
    </w:p>
    <w:p>
      <w:pPr>
        <w:pStyle w:val="ListParagraph"/>
        <w:numPr>
          <w:ilvl w:val="0"/>
          <w:numId w:val="1"/>
        </w:numPr>
        <w:spacing w:after="80" w:line="270"/>
      </w:pPr>
      <w:r>
        <w:rPr>
          <w:rFonts w:ascii="Aptos" w:cs="Aptos" w:eastAsia="Aptos" w:hAnsi="Aptos"/>
          <w:color w:val="3A3A3A"/>
          <w:sz w:val="22"/>
          <w:szCs w:val="22"/>
        </w:rPr>
        <w:t xml:space="preserve">Abschnitt 4.1 (Kontext): die Klima- und Naturgefahren des Standorts bilden einen wesentlichen Teil des externen Kontexts.</w:t>
      </w:r>
    </w:p>
    <w:p>
      <w:pPr>
        <w:pStyle w:val="ListParagraph"/>
        <w:numPr>
          <w:ilvl w:val="0"/>
          <w:numId w:val="1"/>
        </w:numPr>
        <w:spacing w:after="80" w:line="270"/>
      </w:pPr>
      <w:r>
        <w:rPr>
          <w:rFonts w:ascii="Aptos" w:cs="Aptos" w:eastAsia="Aptos" w:hAnsi="Aptos"/>
          <w:color w:val="3A3A3A"/>
          <w:sz w:val="22"/>
          <w:szCs w:val="22"/>
        </w:rPr>
        <w:t xml:space="preserve">Abschnitt 6.1.1 (Risiken und Chancen): die Szenarien und Schwellen sind das operative Ergebnis der Risikobeurteilung.</w:t>
      </w:r>
    </w:p>
    <w:p>
      <w:pPr>
        <w:pStyle w:val="ListParagraph"/>
        <w:numPr>
          <w:ilvl w:val="0"/>
          <w:numId w:val="1"/>
        </w:numPr>
        <w:spacing w:after="80" w:line="270"/>
      </w:pPr>
      <w:r>
        <w:rPr>
          <w:rFonts w:ascii="Aptos" w:cs="Aptos" w:eastAsia="Aptos" w:hAnsi="Aptos"/>
          <w:color w:val="3A3A3A"/>
          <w:sz w:val="22"/>
          <w:szCs w:val="22"/>
        </w:rPr>
        <w:t xml:space="preserve">Abschnitt 8.2 (Notfallvorsorge und Gefahrenabwehr): der Kontingenzplan ist die dokumentierte Umsetzung der Anforderungen dieses Abschnitts — auch im Sinn der Erweiterung 2026 auf „alle möglichen“ Notfälle.</w:t>
      </w:r>
    </w:p>
    <w:p>
      <w:pPr>
        <w:pStyle w:val="ListParagraph"/>
        <w:numPr>
          <w:ilvl w:val="0"/>
          <w:numId w:val="1"/>
        </w:numPr>
        <w:spacing w:after="80" w:line="270"/>
      </w:pPr>
      <w:r>
        <w:rPr>
          <w:rFonts w:ascii="Aptos" w:cs="Aptos" w:eastAsia="Aptos" w:hAnsi="Aptos"/>
          <w:color w:val="3A3A3A"/>
          <w:sz w:val="22"/>
          <w:szCs w:val="22"/>
        </w:rPr>
        <w:t xml:space="preserve">Abschnitt 7.2 (Kompetenz) und 7.4 (Kommunikation): Schulung des Personals und Kommunikationsvorlagen sind Pflichtbestandteile.</w:t>
      </w:r>
    </w:p>
    <w:p>
      <w:pPr>
        <w:pStyle w:val="ListParagraph"/>
        <w:numPr>
          <w:ilvl w:val="0"/>
          <w:numId w:val="1"/>
        </w:numPr>
        <w:spacing w:after="80" w:line="270"/>
      </w:pPr>
      <w:r>
        <w:rPr>
          <w:rFonts w:ascii="Aptos" w:cs="Aptos" w:eastAsia="Aptos" w:hAnsi="Aptos"/>
          <w:color w:val="3A3A3A"/>
          <w:sz w:val="22"/>
          <w:szCs w:val="22"/>
        </w:rPr>
        <w:t xml:space="preserve">Abschnitt 10.2 (Nichtkonformität und Korrekturmaßnahmen): die Nachbereitung realer Ereignisse fließt in die Verbesserung des Systems ein.</w:t>
      </w:r>
    </w:p>
    <w:p>
      <w:pPr>
        <w:pBdr>
          <w:top w:val="single" w:color="C9BBA6" w:sz="6" w:space="6"/>
        </w:pBdr>
        <w:spacing w:after="80" w:before="360"/>
      </w:pPr>
      <w:r>
        <w:rPr>
          <w:rFonts w:ascii="Aptos Display" w:cs="Aptos Display" w:eastAsia="Aptos Display" w:hAnsi="Aptos Display"/>
          <w:b/>
          <w:bCs/>
          <w:color w:val="8C5A2B"/>
          <w:sz w:val="24"/>
          <w:szCs w:val="24"/>
        </w:rPr>
        <w:t xml:space="preserve">Edizioni Effedore — Aktualisierung</w:t>
      </w:r>
    </w:p>
    <w:p>
      <w:pPr>
        <w:spacing w:after="120" w:line="270"/>
      </w:pPr>
      <w:r>
        <w:rPr>
          <w:rFonts w:ascii="Aptos" w:cs="Aptos" w:eastAsia="Aptos" w:hAnsi="Aptos"/>
          <w:i/>
          <w:iCs/>
          <w:color w:val="7A6A55"/>
          <w:sz w:val="21"/>
          <w:szCs w:val="21"/>
        </w:rPr>
        <w:t xml:space="preserve">Diese Seite wird gemäß der im Anhang 2 des Bandes festgelegten Regel der Aktualisierungen jährlich überprüft. Die Warndienste können ihre Skalen, Kanäle und Bezugsquellen ändern; vor dem operativen Einsatz sind die jeweils aktuellen Bezüge an den Primärquellen zu bestätigen. Rückmeldungen und Korrekturen: buecher@effedore.com.</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3A3A3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2026-07-04T22:20:36.298Z</dcterms:created>
  <dcterms:modified xsi:type="dcterms:W3CDTF">2026-07-04T22:20:36.312Z</dcterms:modified>
</cp:coreProperties>
</file>

<file path=docProps/custom.xml><?xml version="1.0" encoding="utf-8"?>
<Properties xmlns="http://schemas.openxmlformats.org/officeDocument/2006/custom-properties" xmlns:vt="http://schemas.openxmlformats.org/officeDocument/2006/docPropsVTypes"/>
</file>