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rFonts w:ascii="Aptos" w:cs="Aptos" w:eastAsia="Aptos" w:hAnsi="Aptos"/>
          <w:b/>
          <w:bCs/>
          <w:color w:val="7A6A55"/>
          <w:spacing w:val="28"/>
          <w:sz w:val="18"/>
          <w:szCs w:val="18"/>
        </w:rPr>
        <w:t xml:space="preserve">EDIZIONI EFFEDORE · «DAS STEUER UND DIE LUPE» · BAND 1 — ISO 14001:2026 · DOWNLOADABLE</w:t>
      </w:r>
    </w:p>
    <w:p>
      <w:pPr>
        <w:pBdr>
          <w:bottom w:val="single" w:color="C9BBA6" w:sz="6" w:space="6"/>
        </w:pBdr>
        <w:spacing w:after="80" w:before="60"/>
      </w:pPr>
      <w:r>
        <w:rPr>
          <w:rFonts w:ascii="Aptos" w:cs="Aptos" w:eastAsia="Aptos" w:hAnsi="Aptos"/>
          <w:b/>
          <w:bCs/>
          <w:color w:val="8C5A2B"/>
          <w:sz w:val="36"/>
          <w:szCs w:val="36"/>
        </w:rPr>
        <w:t xml:space="preserve">Doku 2.6 — Umweltziele, KPIs und operative Planung</w:t>
      </w:r>
    </w:p>
    <w:p>
      <w:pPr>
        <w:spacing w:after="120" w:line="270"/>
      </w:pPr>
      <w:r>
        <w:rPr>
          <w:rFonts w:ascii="Aptos" w:cs="Aptos" w:eastAsia="Aptos" w:hAnsi="Aptos"/>
          <w:i/>
          <w:iCs/>
          <w:color w:val="7A6A55"/>
          <w:sz w:val="21"/>
          <w:szCs w:val="21"/>
        </w:rPr>
        <w:t xml:space="preserve">Begleitmaterial zum Unterkapitel 2.6 · buecher.effedore.com/das-steuer-und-die-lupe-iso-140012026-doku-2-6/</w:t>
      </w:r>
    </w:p>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Zweck dieser Seite:  </w:t>
      </w:r>
      <w:r>
        <w:rPr>
          <w:rFonts w:ascii="Aptos" w:cs="Aptos" w:eastAsia="Aptos" w:hAnsi="Aptos"/>
          <w:color w:val="3A3A3A"/>
          <w:sz w:val="22"/>
          <w:szCs w:val="22"/>
        </w:rPr>
        <w:t xml:space="preserve">Dieses Paket stellt drei einsatzbereite Werkzeuge zur Verfügung, die im Unterkapitel 2.6 des Bandes 1 erwähnt werden — ein spezifisches KPI-Set für Bergresorts im DACH-Raum, orientierende Benchmark-Daten und eine kommentierte Liste der Klimadaten-Tools der drei nationalen Wetterdienste. Ziel: die operative Übersetzung der Anforderungen aus 6.2 (Umweltziele) und 9.1 (Überwachung) für Beherbergungsstrukturen im alpinen Kontext.</w:t>
      </w:r>
    </w:p>
    <w:p>
      <w:pPr>
        <w:spacing w:after="150" w:line="280"/>
        <w:jc w:val="both"/>
      </w:pPr>
      <w:r>
        <w:rPr>
          <w:rFonts w:ascii="Aptos" w:cs="Aptos" w:eastAsia="Aptos" w:hAnsi="Aptos"/>
          <w:color w:val="3A3A3A"/>
          <w:sz w:val="22"/>
          <w:szCs w:val="22"/>
        </w:rPr>
        <w:t xml:space="preserve">Die Materialien sind als Arbeitsvorlagen gedacht: die Tabellen enthalten leere Spalten für Zielwerte und Ist-Werte, die von der Struktur selbst zu befüllen sind. Fußnoten und mit „[zu prüfen]“ gekennzeichnete Felder verweisen auf Angaben, die vor der operativen Verwendung an der jeweiligen Primärquelle zu bestätigen sind — gemäß dem Verifikationspakt des Werkes.</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1. KPI-Set für Bergresorts (DACH)</w:t>
      </w:r>
    </w:p>
    <w:p>
      <w:pPr>
        <w:spacing w:after="150" w:line="280"/>
        <w:jc w:val="both"/>
      </w:pPr>
      <w:r>
        <w:rPr>
          <w:rFonts w:ascii="Aptos" w:cs="Aptos" w:eastAsia="Aptos" w:hAnsi="Aptos"/>
          <w:color w:val="3A3A3A"/>
          <w:sz w:val="22"/>
          <w:szCs w:val="22"/>
        </w:rPr>
        <w:t xml:space="preserve">Das folgende Set konzentriert sich auf die Umweltgrößen, die im alpinen Kontext den größten Druck erzeugen: Energie (mit Grad-Tage-Korrektur, weil die reine kWh/Gästenacht in kaltem Klima irreführend ist), Wasser in der Trockenzeit, technische Beschneiung, Mobilität der Gäste (Scope 3), Abfalllogistik in Höhenlage und Auswirkung auf die alpine Biodiversität.</w:t>
      </w:r>
    </w:p>
    <w:p>
      <w:pPr>
        <w:spacing w:after="120" w:line="270"/>
      </w:pPr>
      <w:r>
        <w:rPr>
          <w:rFonts w:ascii="Aptos" w:cs="Aptos" w:eastAsia="Aptos" w:hAnsi="Aptos"/>
          <w:i/>
          <w:iCs/>
          <w:color w:val="7A6A55"/>
          <w:sz w:val="21"/>
          <w:szCs w:val="21"/>
        </w:rPr>
        <w:t xml:space="preserve">Hinweis zur Nutzung: Die Spalten „Zielwert“ und „Ist-Wert“ sind bewusst leer. Sie werden von der Struktur nach Kontextanalyse (4.1) und Wesentlichkeitsbewertung (6.1.2) gemäß der eigenen Umweltpolitik festgelegt.</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900"/>
        <w:gridCol w:w="2800"/>
        <w:gridCol w:w="1200"/>
        <w:gridCol w:w="1800"/>
        <w:gridCol w:w="900"/>
        <w:gridCol w:w="900"/>
      </w:tblGrid>
      <w:tr>
        <w:trPr>
          <w:tblHeader/>
        </w:trPr>
        <w:tc>
          <w:tcPr>
            <w:tcW w:type="dxa" w:w="1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KPI</w:t>
            </w:r>
          </w:p>
        </w:tc>
        <w:tc>
          <w:tcPr>
            <w:tcW w:type="dxa" w:w="2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Formel</w:t>
            </w:r>
          </w:p>
        </w:tc>
        <w:tc>
          <w:tcPr>
            <w:tcW w:type="dxa" w:w="12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Einheit</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Datenquelle</w:t>
            </w:r>
          </w:p>
        </w:tc>
        <w:tc>
          <w:tcPr>
            <w:tcW w:type="dxa" w:w="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Zielwert</w:t>
            </w:r>
          </w:p>
        </w:tc>
        <w:tc>
          <w:tcPr>
            <w:tcW w:type="dxa" w:w="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Ist-Wert</w:t>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Energieintensität, HDD-korrigiert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Endenergie ÷ (Gästenächte × HDD)</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kWh/(GN·HDD)</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Zählerablesungen + DWD/GeoSphere/MeteoSchweiz HDD</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Endenergieintensität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Endenergie ÷ Gästenächte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kWh/GN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Zählerablesungen</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Anteil erneuerbare Energie am Standort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(PV + Biomasse + Solarthermie) ÷ Endenergie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Erzeugungs- und Verbrauchsdaten</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Wasserintensität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Wasserverbrauch ÷ Gästenächte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l/GN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Wasserzähler</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Trockenzeit-Wasserintensität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Wasserverbrauch (Trockenmonate) ÷ Gästenächte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l/GN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Wasserzähler, Segmentierung Q3</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Wasserverbrauch technische Beschneiung</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Wasser Beschneiung ÷ beschneite Piste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m³/ha·Saison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Betreibergesellschaft Skigebiet</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Energie technische Beschneiung</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Strom Beschneiung ÷ beschneite Piste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kWh/ha·Saison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Betreibergesellschaft Skigebiet</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Scope 3 Gästeanreise</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THG Gästeanreise ÷ Gästenächte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kg CO₂e/GN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Gästebefragung + Emissionsfaktoren UBA</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Anteil ÖPNV-Anreise</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Gäste mit ÖPNV/Skibus ÷ Gesamtgäste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Check-in-Befragung</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Abfallintensität, Restmüll</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Restmüll ÷ Gästenächte</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kg/GN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Wiegeprotokolle Entsorger</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Trennquote</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(Recycling + Bio + Papier) ÷ Gesamtabfall</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Entsorgerdaten</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Anteil regionale/saisonale Lebensmittel</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regionaler Wareneinkauf ÷ Gesamteinkauf F&amp;B</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Einkaufsdaten</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Biodiversitätsindex Umland</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strukturierte Selbstbewertung (0–100)</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Punkte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interne Erhebung, Anlehnung GSTC</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r>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Konformität Umweltrecht</w:t>
            </w:r>
          </w:p>
        </w:tc>
        <w:tc>
          <w:tcPr>
            <w:tcW w:type="dxa" w:w="2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umgesetzte Pflichten ÷ identifizierte Pflichten</w:t>
            </w:r>
          </w:p>
        </w:tc>
        <w:tc>
          <w:tcPr>
            <w:tcW w:type="dxa" w:w="1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Rechtsregister (6.1.3)</w:t>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c>
          <w:tcPr>
            <w:tcW w:type="dxa" w:w="900"/>
            <w:tcBorders>
              <w:top w:val="single" w:color="C9BBA6" w:sz="2"/>
              <w:left w:val="single" w:color="C9BBA6" w:sz="2"/>
              <w:bottom w:val="single" w:color="C9BBA6" w:sz="2"/>
              <w:right w:val="single" w:color="C9BBA6" w:sz="2"/>
            </w:tcBorders>
            <w:shd w:fill="F7F1E8" w:color="auto" w:val="clear"/>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
            </w:r>
          </w:p>
        </w:tc>
      </w:tr>
    </w:tbl>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Anmerkung zu HDD:  </w:t>
      </w:r>
      <w:r>
        <w:rPr>
          <w:rFonts w:ascii="Aptos" w:cs="Aptos" w:eastAsia="Aptos" w:hAnsi="Aptos"/>
          <w:color w:val="3A3A3A"/>
          <w:sz w:val="22"/>
          <w:szCs w:val="22"/>
        </w:rPr>
        <w:t xml:space="preserve">Der Begriff „Grad-Tage“ (Heating Degree Days) korrigiert den Energieverbrauch um die Härte des Winters. Ohne diese Korrektur werden zwei Häuser derselben Struktur in einem kalten und in einem milden Jahr fälschlich als unterschiedlich effizient dargestellt. Die HDD-Werte für den eigenen Standort sind kostenlos über DWD (DE), GeoSphere Austria (AT) und MeteoSchweiz (CH) erhältlich — siehe Abschnitt 3.</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2. Benchmark-Daten Bergresorts DACH</w:t>
      </w:r>
    </w:p>
    <w:p>
      <w:pPr>
        <w:spacing w:after="150" w:line="280"/>
        <w:jc w:val="both"/>
      </w:pPr>
      <w:r>
        <w:rPr>
          <w:rFonts w:ascii="Aptos" w:cs="Aptos" w:eastAsia="Aptos" w:hAnsi="Aptos"/>
          <w:color w:val="3A3A3A"/>
          <w:sz w:val="22"/>
          <w:szCs w:val="22"/>
        </w:rPr>
        <w:t xml:space="preserve">Die folgenden Bereiche sind orientierende Bandbreiten, keine gesicherten Mittelwerte. Sie dienen als Ausgangspunkt für die Selbstpositionierung, nicht als Zielwert. Die Zielwerte werden von der einzelnen Struktur festgelegt und nachweislich begründet — die Norm verlangt Zielwerte, die zum eigenen Kontext passen, nicht zum Durchschnitt.</w:t>
      </w:r>
    </w:p>
    <w:p>
      <w:pPr>
        <w:spacing w:after="120" w:line="270"/>
      </w:pPr>
      <w:r>
        <w:rPr>
          <w:rFonts w:ascii="Aptos" w:cs="Aptos" w:eastAsia="Aptos" w:hAnsi="Aptos"/>
          <w:i/>
          <w:iCs/>
          <w:color w:val="7A6A55"/>
          <w:sz w:val="21"/>
          <w:szCs w:val="21"/>
        </w:rPr>
        <w:t xml:space="preserve">Alle Bandbreiten sind aus branchenüblichen Erhebungen abgeleitet und mit [zu prüfen] gekennzeichnet, wo eine öffentlich zugängliche Primärquelle zum Redaktionsschluss nicht endgültig bestätigt werden konnte.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1800"/>
        <w:gridCol w:w="1800"/>
        <w:gridCol w:w="1900"/>
      </w:tblGrid>
      <w:tr>
        <w:trPr>
          <w:tblHeader/>
        </w:trPr>
        <w:tc>
          <w:tcPr>
            <w:tcW w:type="dxa" w:w="22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KPI</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3-Sterne (DACH)</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4-Sterne Superior (DACH)</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5-Sterne / Resort</w:t>
            </w:r>
          </w:p>
        </w:tc>
        <w:tc>
          <w:tcPr>
            <w:tcW w:type="dxa" w:w="19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Quellenhinweis</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Endenergieintensität (Ganzjahr, alpin)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55–85 kWh/GN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70–120 kWh/GN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110–180 kWh/GN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hotelleriesuisse Nachhaltigkeitsbenchmark; DEHOGA Energiekampagne</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Wasserintensität (Ganzjahr)</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180–280 l/GN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250–380 l/GN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350–550 l/GN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hotelleriesuisse; UBA (DE); ÖHV</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Anteil erneuerbare Energie am Standort</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0–20 %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10–35 %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20–60 %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hotelleriesuisse ibex fairstay; BFE (CH)</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Restmüllintensität</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0,6–1,1 kg/GN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0,8–1,4 kg/GN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1,0–1,8 kg/GN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UBA (DE); DEHOGA</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Trennquote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35–55 %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45–65 %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55–75 %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kommunale Entsorger; Branchenerhebungen</w:t>
            </w:r>
          </w:p>
        </w:tc>
      </w:tr>
      <w:tr>
        <w:tc>
          <w:tcPr>
            <w:tcW w:type="dxa" w:w="22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Anteil ÖPNV-Anreise (Wintersaison)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10–25 %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15–35 % [zu prüfen]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20–40 % [zu prüfen]</w:t>
            </w:r>
          </w:p>
        </w:tc>
        <w:tc>
          <w:tcPr>
            <w:tcW w:type="dxa" w:w="19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Alpine Pearls; regionale Verkehrsverbünde</w:t>
            </w:r>
          </w:p>
        </w:tc>
      </w:tr>
    </w:tbl>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Methodische Warnung:  </w:t>
      </w:r>
      <w:r>
        <w:rPr>
          <w:rFonts w:ascii="Aptos" w:cs="Aptos" w:eastAsia="Aptos" w:hAnsi="Aptos"/>
          <w:color w:val="3A3A3A"/>
          <w:sz w:val="22"/>
          <w:szCs w:val="22"/>
        </w:rPr>
        <w:t xml:space="preserve">Benchmarks sind kein Ziel. Die eigene Struktur kann aus legitimen Gründen (Höhenlage, Öffnungstage, Klima, Ausstattung) systematisch am oberen Ende der Bandbreite liegen. Die entscheidende Frage lautet nicht „bin ich besser als der Durchschnitt?“, sondern „ist mein Zielwert für meinen Kontext ambitioniert und begründet?“ — genau das verlangt 6.2 der ISO 14001:2026.</w:t>
      </w:r>
    </w:p>
    <w:p>
      <w:pPr>
        <w:keepNext/>
        <w:spacing w:after="100" w:before="220"/>
      </w:pPr>
      <w:r>
        <w:rPr>
          <w:rFonts w:ascii="Aptos Display" w:cs="Aptos Display" w:eastAsia="Aptos Display" w:hAnsi="Aptos Display"/>
          <w:b/>
          <w:bCs/>
          <w:color w:val="8C5A2B"/>
          <w:sz w:val="24"/>
          <w:szCs w:val="24"/>
        </w:rPr>
        <w:t xml:space="preserve">Primärquellen für Branchenbenchmarks</w:t>
      </w:r>
    </w:p>
    <w:p>
      <w:pPr>
        <w:pStyle w:val="ListParagraph"/>
        <w:numPr>
          <w:ilvl w:val="0"/>
          <w:numId w:val="1"/>
        </w:numPr>
        <w:spacing w:after="80" w:line="270"/>
      </w:pPr>
      <w:r>
        <w:rPr>
          <w:rFonts w:ascii="Aptos" w:cs="Aptos" w:eastAsia="Aptos" w:hAnsi="Aptos"/>
          <w:color w:val="3A3A3A"/>
          <w:sz w:val="22"/>
          <w:szCs w:val="22"/>
        </w:rPr>
        <w:t xml:space="preserve">hotelleriesuisse — Nachhaltigkeitsbenchmark und Label ibex fairstay (Zugang für Mitgliedsbetriebe; jährliche Auswertungen).</w:t>
      </w:r>
    </w:p>
    <w:p>
      <w:pPr>
        <w:pStyle w:val="ListParagraph"/>
        <w:numPr>
          <w:ilvl w:val="0"/>
          <w:numId w:val="1"/>
        </w:numPr>
        <w:spacing w:after="80" w:line="270"/>
      </w:pPr>
      <w:r>
        <w:rPr>
          <w:rFonts w:ascii="Aptos" w:cs="Aptos" w:eastAsia="Aptos" w:hAnsi="Aptos"/>
          <w:color w:val="3A3A3A"/>
          <w:sz w:val="22"/>
          <w:szCs w:val="22"/>
        </w:rPr>
        <w:t xml:space="preserve">DEHOGA Bundesverband (DE) — Energiekampagne und branchenbezogene Kennzahlen für Hotellerie und Gastronomie.</w:t>
      </w:r>
    </w:p>
    <w:p>
      <w:pPr>
        <w:pStyle w:val="ListParagraph"/>
        <w:numPr>
          <w:ilvl w:val="0"/>
          <w:numId w:val="1"/>
        </w:numPr>
        <w:spacing w:after="80" w:line="270"/>
      </w:pPr>
      <w:r>
        <w:rPr>
          <w:rFonts w:ascii="Aptos" w:cs="Aptos" w:eastAsia="Aptos" w:hAnsi="Aptos"/>
          <w:color w:val="3A3A3A"/>
          <w:sz w:val="22"/>
          <w:szCs w:val="22"/>
        </w:rPr>
        <w:t xml:space="preserve">ÖHV — Österreichische Hoteliersvereinigung — Nachhaltigkeitsinitiativen und Branchendaten.</w:t>
      </w:r>
    </w:p>
    <w:p>
      <w:pPr>
        <w:pStyle w:val="ListParagraph"/>
        <w:numPr>
          <w:ilvl w:val="0"/>
          <w:numId w:val="1"/>
        </w:numPr>
        <w:spacing w:after="80" w:line="270"/>
      </w:pPr>
      <w:r>
        <w:rPr>
          <w:rFonts w:ascii="Aptos" w:cs="Aptos" w:eastAsia="Aptos" w:hAnsi="Aptos"/>
          <w:color w:val="3A3A3A"/>
          <w:sz w:val="22"/>
          <w:szCs w:val="22"/>
        </w:rPr>
        <w:t xml:space="preserve">Umweltbundesamt (UBA, DE) — sektorale Emissionsfaktoren und Benchmark-Studien für das Gastgewerbe.</w:t>
      </w:r>
    </w:p>
    <w:p>
      <w:pPr>
        <w:pStyle w:val="ListParagraph"/>
        <w:numPr>
          <w:ilvl w:val="0"/>
          <w:numId w:val="1"/>
        </w:numPr>
        <w:spacing w:after="80" w:line="270"/>
      </w:pPr>
      <w:r>
        <w:rPr>
          <w:rFonts w:ascii="Aptos" w:cs="Aptos" w:eastAsia="Aptos" w:hAnsi="Aptos"/>
          <w:color w:val="3A3A3A"/>
          <w:sz w:val="22"/>
          <w:szCs w:val="22"/>
        </w:rPr>
        <w:t xml:space="preserve">Bundesamt für Energie (BFE, CH) — Energiestatistik und sektorale Verbrauchsdaten.</w:t>
      </w:r>
    </w:p>
    <w:p>
      <w:pPr>
        <w:pStyle w:val="ListParagraph"/>
        <w:numPr>
          <w:ilvl w:val="0"/>
          <w:numId w:val="1"/>
        </w:numPr>
        <w:spacing w:after="80" w:line="270"/>
      </w:pPr>
      <w:r>
        <w:rPr>
          <w:rFonts w:ascii="Aptos" w:cs="Aptos" w:eastAsia="Aptos" w:hAnsi="Aptos"/>
          <w:color w:val="3A3A3A"/>
          <w:sz w:val="22"/>
          <w:szCs w:val="22"/>
        </w:rPr>
        <w:t xml:space="preserve">GSTC — Global Sustainable Tourism Council Industry Criteria for Hotels.</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3. Klimadaten-Tools der DACH-Wetterdienste</w:t>
      </w:r>
    </w:p>
    <w:p>
      <w:pPr>
        <w:spacing w:after="150" w:line="280"/>
        <w:jc w:val="both"/>
      </w:pPr>
      <w:r>
        <w:rPr>
          <w:rFonts w:ascii="Aptos" w:cs="Aptos" w:eastAsia="Aptos" w:hAnsi="Aptos"/>
          <w:color w:val="3A3A3A"/>
          <w:sz w:val="22"/>
          <w:szCs w:val="22"/>
        </w:rPr>
        <w:t xml:space="preserve">Für die Festlegung realistischer und kontextspezifischer Zielwerte braucht die Struktur objektive Klimadaten: Grad-Tage für die Energiekorrektur, Niederschlags- und Trockenperiodendaten für die Wasserplanung, Schneesicherheit für die Saisonplanung, langfristige Szenarien für die Anpassungsplanung. Die drei nationalen Wetterdienste des DACH-Raums stellen dafür kostenlose oder günstige Werkzeuge bereit.</w:t>
      </w:r>
    </w:p>
    <w:p>
      <w:pPr>
        <w:keepNext/>
        <w:spacing w:after="100" w:before="220"/>
      </w:pPr>
      <w:r>
        <w:rPr>
          <w:rFonts w:ascii="Aptos Display" w:cs="Aptos Display" w:eastAsia="Aptos Display" w:hAnsi="Aptos Display"/>
          <w:b/>
          <w:bCs/>
          <w:color w:val="8C5A2B"/>
          <w:sz w:val="24"/>
          <w:szCs w:val="24"/>
        </w:rPr>
        <w:t xml:space="preserve">Deutschland — Deutscher Wetterdienst (DWD)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1800"/>
        <w:gridCol w:w="1700"/>
      </w:tblGrid>
      <w:tr>
        <w:trPr>
          <w:tblHeader/>
        </w:trPr>
        <w:tc>
          <w:tcPr>
            <w:tcW w:type="dxa" w:w="2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Tool / Datensatz</w:t>
            </w:r>
          </w:p>
        </w:tc>
        <w:tc>
          <w:tcPr>
            <w:tcW w:type="dxa" w:w="3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Inhalt</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für KPI</w:t>
            </w:r>
          </w:p>
        </w:tc>
        <w:tc>
          <w:tcPr>
            <w:tcW w:type="dxa" w:w="17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Zugang</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Climate Data Center (CDC)</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Historische Klimadaten (Temperatur, Niederschlag, Schnee, Sonnenscheindauer) auf Stationsebene, teilweise ab 1881</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HDD-Berechnung, Wasserplanung</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opendata.dwd.de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Grad-Tag-Zahlen (GTZ)</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Monatliche und jährliche Grad-Tag-Zahlen nach VDI 3807</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Energieintensität HDD-korrigiert</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dwd.de/DE/leistungen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Klimaatlas Deutschland</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Interaktive Karten mit Klimavariablen, auch Szenarien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langfristige Zielplanung</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dwd.de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Regionale Klimaprojektionen</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Szenarien nach RCP/SSP für Deutschland und Regionen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Klimaresilienzplanung (2.7)</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opendata.dwd.de — kostenlos</w:t>
            </w:r>
          </w:p>
        </w:tc>
      </w:tr>
    </w:tbl>
    <w:p>
      <w:pPr>
        <w:keepNext/>
        <w:spacing w:after="100" w:before="220"/>
      </w:pPr>
      <w:r>
        <w:rPr>
          <w:rFonts w:ascii="Aptos Display" w:cs="Aptos Display" w:eastAsia="Aptos Display" w:hAnsi="Aptos Display"/>
          <w:b/>
          <w:bCs/>
          <w:color w:val="8C5A2B"/>
          <w:sz w:val="24"/>
          <w:szCs w:val="24"/>
        </w:rPr>
        <w:t xml:space="preserve">Österreich — GeoSphere Austria (vormals ZAMG)</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1800"/>
        <w:gridCol w:w="1700"/>
      </w:tblGrid>
      <w:tr>
        <w:trPr>
          <w:tblHeader/>
        </w:trPr>
        <w:tc>
          <w:tcPr>
            <w:tcW w:type="dxa" w:w="2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Tool / Datensatz</w:t>
            </w:r>
          </w:p>
        </w:tc>
        <w:tc>
          <w:tcPr>
            <w:tcW w:type="dxa" w:w="3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Inhalt</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für KPI</w:t>
            </w:r>
          </w:p>
        </w:tc>
        <w:tc>
          <w:tcPr>
            <w:tcW w:type="dxa" w:w="17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Zugang</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Data Hub GeoSphere</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Offene Daten Klima, Geophysik, Meteorologie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HDD, Niederschlag, Extreme</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data.hub.geosphere.at — überwiegend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HISTALP</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Historische Klimareihen für den Alpenraum, monatlich, seit 1760</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Langzeittrends, Klimasignatur des Standorts</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zamg.ac.at/histalp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ÖKS15-Klimaszenarien</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Nationale Klimaszenarien für Österreich</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Klimaresilienzplanung</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ccca.ac.at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Klimastatusbericht</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Jährlicher Sektorbericht mit Beobachtungsdaten</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Kontextanalyse 4.1</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geosphere.at — kostenlos</w:t>
            </w:r>
          </w:p>
        </w:tc>
      </w:tr>
    </w:tbl>
    <w:p>
      <w:pPr>
        <w:keepNext/>
        <w:spacing w:after="100" w:before="220"/>
      </w:pPr>
      <w:r>
        <w:rPr>
          <w:rFonts w:ascii="Aptos Display" w:cs="Aptos Display" w:eastAsia="Aptos Display" w:hAnsi="Aptos Display"/>
          <w:b/>
          <w:bCs/>
          <w:color w:val="8C5A2B"/>
          <w:sz w:val="24"/>
          <w:szCs w:val="24"/>
        </w:rPr>
        <w:t xml:space="preserve">Schweiz — MeteoSchweiz</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1800"/>
        <w:gridCol w:w="1700"/>
      </w:tblGrid>
      <w:tr>
        <w:trPr>
          <w:tblHeader/>
        </w:trPr>
        <w:tc>
          <w:tcPr>
            <w:tcW w:type="dxa" w:w="26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Tool / Datensatz</w:t>
            </w:r>
          </w:p>
        </w:tc>
        <w:tc>
          <w:tcPr>
            <w:tcW w:type="dxa" w:w="34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Inhalt</w:t>
            </w:r>
          </w:p>
        </w:tc>
        <w:tc>
          <w:tcPr>
            <w:tcW w:type="dxa" w:w="18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Bezug für KPI</w:t>
            </w:r>
          </w:p>
        </w:tc>
        <w:tc>
          <w:tcPr>
            <w:tcW w:type="dxa" w:w="1700"/>
            <w:tcBorders>
              <w:top w:val="single" w:color="C9BBA6" w:sz="2"/>
              <w:left w:val="single" w:color="C9BBA6" w:sz="2"/>
              <w:bottom w:val="single" w:color="C9BBA6" w:sz="2"/>
              <w:right w:val="single" w:color="C9BBA6" w:sz="2"/>
            </w:tcBorders>
            <w:shd w:fill="8C5A2B" w:color="auto" w:val="clear"/>
            <w:tcMar>
              <w:top w:type="dxa" w:w="80"/>
              <w:left w:type="dxa" w:w="120"/>
              <w:bottom w:type="dxa" w:w="80"/>
              <w:right w:type="dxa" w:w="120"/>
            </w:tcMar>
          </w:tcPr>
          <w:p>
            <w:r>
              <w:rPr>
                <w:rFonts w:ascii="Aptos" w:cs="Aptos" w:eastAsia="Aptos" w:hAnsi="Aptos"/>
                <w:b/>
                <w:bCs/>
                <w:color w:val="FFFFFF"/>
                <w:sz w:val="21"/>
                <w:szCs w:val="21"/>
              </w:rPr>
              <w:t xml:space="preserve">Zugang</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IDAweb</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Stationsdaten Temperatur, Niederschlag, Schnee, Wind</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HDD-Berechnung, Wasser- und Schneeplanung</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gate.meteoswiss.ch/idaweb — kostenlos für Forschung/Lehre; [zu prüfen] für gewerbliche Nutzung</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CH2018-Klimaszenarien</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Nationale Klimaszenarien Schweiz, regionalisiert</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Klimaresilienzplanung (2.7)</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nccs.admin.ch/ch2018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Klimabulletin</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Monatliche und jährliche Klimaberichte</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Kontextanalyse 4.1, Berichtsbeleg</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meteoschweiz.admin.ch — kostenlos</w:t>
            </w:r>
          </w:p>
        </w:tc>
      </w:tr>
      <w:tr>
        <w:tc>
          <w:tcPr>
            <w:tcW w:type="dxa" w:w="26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bCs/>
                <w:i w:val="false"/>
                <w:iCs w:val="false"/>
                <w:color w:val="3A3A3A"/>
                <w:sz w:val="21"/>
                <w:szCs w:val="21"/>
              </w:rPr>
              <w:t xml:space="preserve">Grid-Datenprodukte</w:t>
            </w:r>
          </w:p>
        </w:tc>
        <w:tc>
          <w:tcPr>
            <w:tcW w:type="dxa" w:w="34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Gitterdaten Temperatur, Niederschlag (RhiresD, TabsD)</w:t>
            </w:r>
          </w:p>
        </w:tc>
        <w:tc>
          <w:tcPr>
            <w:tcW w:type="dxa" w:w="18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val="false"/>
                <w:iCs w:val="false"/>
                <w:color w:val="3A3A3A"/>
                <w:sz w:val="21"/>
                <w:szCs w:val="21"/>
              </w:rPr>
              <w:t xml:space="preserve">flächige Auswertung, alpine Gebiete ohne Stationen</w:t>
            </w:r>
          </w:p>
        </w:tc>
        <w:tc>
          <w:tcPr>
            <w:tcW w:type="dxa" w:w="1700"/>
            <w:tcBorders>
              <w:top w:val="single" w:color="C9BBA6" w:sz="2"/>
              <w:left w:val="single" w:color="C9BBA6" w:sz="2"/>
              <w:bottom w:val="single" w:color="C9BBA6" w:sz="2"/>
              <w:right w:val="single" w:color="C9BBA6" w:sz="2"/>
            </w:tcBorders>
            <w:tcMar>
              <w:top w:type="dxa" w:w="70"/>
              <w:left w:type="dxa" w:w="120"/>
              <w:bottom w:type="dxa" w:w="70"/>
              <w:right w:type="dxa" w:w="120"/>
            </w:tcMar>
          </w:tcPr>
          <w:p>
            <w:r>
              <w:rPr>
                <w:rFonts w:ascii="Aptos" w:cs="Aptos" w:eastAsia="Aptos" w:hAnsi="Aptos"/>
                <w:b w:val="false"/>
                <w:bCs w:val="false"/>
                <w:i/>
                <w:iCs/>
                <w:color w:val="7A6A55"/>
                <w:sz w:val="21"/>
                <w:szCs w:val="21"/>
              </w:rPr>
              <w:t xml:space="preserve">meteoschweiz.admin.ch — teilweise kostenlos, [zu prüfen] je Datensatz</w:t>
            </w:r>
          </w:p>
        </w:tc>
      </w:tr>
    </w:tbl>
    <w:p>
      <w:pPr>
        <w:pBdr>
          <w:left w:val="single" w:color="8C5A2B" w:sz="18" w:space="10"/>
        </w:pBdr>
        <w:shd w:fill="EFE7DC" w:color="auto" w:val="clear"/>
        <w:spacing w:after="200" w:before="200"/>
        <w:ind w:left="200" w:right="200"/>
        <w:jc w:val="both"/>
      </w:pPr>
      <w:r>
        <w:rPr>
          <w:rFonts w:ascii="Aptos" w:cs="Aptos" w:eastAsia="Aptos" w:hAnsi="Aptos"/>
          <w:b/>
          <w:bCs/>
          <w:color w:val="8C5A2B"/>
          <w:sz w:val="22"/>
          <w:szCs w:val="22"/>
        </w:rPr>
        <w:t xml:space="preserve">Praktischer Rat:  </w:t>
      </w:r>
      <w:r>
        <w:rPr>
          <w:rFonts w:ascii="Aptos" w:cs="Aptos" w:eastAsia="Aptos" w:hAnsi="Aptos"/>
          <w:color w:val="3A3A3A"/>
          <w:sz w:val="22"/>
          <w:szCs w:val="22"/>
        </w:rPr>
        <w:t xml:space="preserve">Für die HDD-Korrektur der Energieintensität genügt eine Bezugsstation im Umkreis von ~20 km und mit ähnlicher Höhenlage. Für die langfristige Zielplanung (5–10 Jahre) sind die nationalen Klimaszenarien (CH2018 / ÖKS15 / DWD RCP) die belastbarste Grundlage — sie geben nicht Prognosen im Sinne einer Wettervorhersage, sondern Bandbreiten möglicher Entwicklungen.</w:t>
      </w:r>
    </w:p>
    <w:p>
      <w:pPr>
        <w:keepNext/>
        <w:pBdr>
          <w:bottom w:val="single" w:color="C9BBA6" w:sz="4" w:space="4"/>
        </w:pBdr>
        <w:spacing w:after="120" w:before="300"/>
      </w:pPr>
      <w:r>
        <w:rPr>
          <w:rFonts w:ascii="Aptos Display" w:cs="Aptos Display" w:eastAsia="Aptos Display" w:hAnsi="Aptos Display"/>
          <w:b/>
          <w:bCs/>
          <w:color w:val="8C5A2B"/>
          <w:sz w:val="28"/>
          <w:szCs w:val="28"/>
        </w:rPr>
        <w:t xml:space="preserve">4. Anschluss an die ISO 14001:2026</w:t>
      </w:r>
    </w:p>
    <w:p>
      <w:pPr>
        <w:pStyle w:val="ListParagraph"/>
        <w:numPr>
          <w:ilvl w:val="0"/>
          <w:numId w:val="1"/>
        </w:numPr>
        <w:spacing w:after="80" w:line="270"/>
      </w:pPr>
      <w:r>
        <w:rPr>
          <w:rFonts w:ascii="Aptos" w:cs="Aptos" w:eastAsia="Aptos" w:hAnsi="Aptos"/>
          <w:color w:val="3A3A3A"/>
          <w:sz w:val="22"/>
          <w:szCs w:val="22"/>
        </w:rPr>
        <w:t xml:space="preserve">Abschnitt 6.1.2 (Umweltaspekte): das KPI-Set richtet sich nach den als wesentlich bewerteten Aspekten.</w:t>
      </w:r>
    </w:p>
    <w:p>
      <w:pPr>
        <w:pStyle w:val="ListParagraph"/>
        <w:numPr>
          <w:ilvl w:val="0"/>
          <w:numId w:val="1"/>
        </w:numPr>
        <w:spacing w:after="80" w:line="270"/>
      </w:pPr>
      <w:r>
        <w:rPr>
          <w:rFonts w:ascii="Aptos" w:cs="Aptos" w:eastAsia="Aptos" w:hAnsi="Aptos"/>
          <w:color w:val="3A3A3A"/>
          <w:sz w:val="22"/>
          <w:szCs w:val="22"/>
        </w:rPr>
        <w:t xml:space="preserve">Abschnitt 6.2 (Umweltziele): die aus dem Benchmark abgeleiteten Bandbreiten dienen als Ausgangspunkt für kontextspezifische, begründete Zielwerte.</w:t>
      </w:r>
    </w:p>
    <w:p>
      <w:pPr>
        <w:pStyle w:val="ListParagraph"/>
        <w:numPr>
          <w:ilvl w:val="0"/>
          <w:numId w:val="1"/>
        </w:numPr>
        <w:spacing w:after="80" w:line="270"/>
      </w:pPr>
      <w:r>
        <w:rPr>
          <w:rFonts w:ascii="Aptos" w:cs="Aptos" w:eastAsia="Aptos" w:hAnsi="Aptos"/>
          <w:color w:val="3A3A3A"/>
          <w:sz w:val="22"/>
          <w:szCs w:val="22"/>
        </w:rPr>
        <w:t xml:space="preserve">Abschnitt 9.1 (Überwachung, Messung, Analyse und Bewertung): die Zeilen der KPI-Tabelle bilden die Grundlage der Überwachungsverfahren.</w:t>
      </w:r>
    </w:p>
    <w:p>
      <w:pPr>
        <w:pStyle w:val="ListParagraph"/>
        <w:numPr>
          <w:ilvl w:val="0"/>
          <w:numId w:val="1"/>
        </w:numPr>
        <w:spacing w:after="80" w:line="270"/>
      </w:pPr>
      <w:r>
        <w:rPr>
          <w:rFonts w:ascii="Aptos" w:cs="Aptos" w:eastAsia="Aptos" w:hAnsi="Aptos"/>
          <w:color w:val="3A3A3A"/>
          <w:sz w:val="22"/>
          <w:szCs w:val="22"/>
        </w:rPr>
        <w:t xml:space="preserve">Abschnitt 9.3 (Managementbewertung): die konsolidierten KPI-Daten sind Pflichtinput der Managementbewertung.</w:t>
      </w:r>
    </w:p>
    <w:p>
      <w:pPr>
        <w:pBdr>
          <w:top w:val="single" w:color="C9BBA6" w:sz="6" w:space="6"/>
        </w:pBdr>
        <w:spacing w:after="80" w:before="360"/>
      </w:pPr>
      <w:r>
        <w:rPr>
          <w:rFonts w:ascii="Aptos Display" w:cs="Aptos Display" w:eastAsia="Aptos Display" w:hAnsi="Aptos Display"/>
          <w:b/>
          <w:bCs/>
          <w:color w:val="8C5A2B"/>
          <w:sz w:val="24"/>
          <w:szCs w:val="24"/>
        </w:rPr>
        <w:t xml:space="preserve">Edizioni Effedore — Aktualisierung</w:t>
      </w:r>
    </w:p>
    <w:p>
      <w:pPr>
        <w:spacing w:after="120" w:line="270"/>
      </w:pPr>
      <w:r>
        <w:rPr>
          <w:rFonts w:ascii="Aptos" w:cs="Aptos" w:eastAsia="Aptos" w:hAnsi="Aptos"/>
          <w:i/>
          <w:iCs/>
          <w:color w:val="7A6A55"/>
          <w:sz w:val="21"/>
          <w:szCs w:val="21"/>
        </w:rPr>
        <w:t xml:space="preserve">Diese Seite wird gemäß der im Anhang 2 des Bandes festgelegten Regel der Aktualisierungen jährlich überprüft. Die zuletzt aktualisierten Bandbreiten und Quellenverweise sind an den jeweiligen Primärquellen zu bestätigen. Rückmeldungen und Korrekturen: buecher@effedore.com.</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3A3A3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2026-07-04T22:03:09.855Z</dcterms:created>
  <dcterms:modified xsi:type="dcterms:W3CDTF">2026-07-04T22:03:09.869Z</dcterms:modified>
</cp:coreProperties>
</file>

<file path=docProps/custom.xml><?xml version="1.0" encoding="utf-8"?>
<Properties xmlns="http://schemas.openxmlformats.org/officeDocument/2006/custom-properties" xmlns:vt="http://schemas.openxmlformats.org/officeDocument/2006/docPropsVTypes"/>
</file>