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68417" w14:textId="77777777" w:rsidR="00D33678" w:rsidRPr="004D38C0" w:rsidRDefault="00000000">
      <w:pPr>
        <w:pBdr>
          <w:bottom w:val="single" w:sz="6" w:space="6" w:color="C9BBA6"/>
        </w:pBdr>
        <w:spacing w:before="60" w:after="80"/>
        <w:rPr>
          <w:lang w:val="en-GB"/>
        </w:rPr>
      </w:pPr>
      <w:r w:rsidRPr="004D38C0">
        <w:rPr>
          <w:b/>
          <w:bCs/>
          <w:color w:val="8C5A2B"/>
          <w:sz w:val="36"/>
          <w:szCs w:val="36"/>
          <w:lang w:val="en-GB"/>
        </w:rPr>
        <w:t>Doku 2.12 — Emissionsmessung und Governance des Umweltdatums</w:t>
      </w:r>
    </w:p>
    <w:p w14:paraId="78161EC6" w14:textId="77777777" w:rsidR="00D33678" w:rsidRPr="004D38C0" w:rsidRDefault="00000000">
      <w:pPr>
        <w:spacing w:after="120" w:line="270" w:lineRule="auto"/>
        <w:rPr>
          <w:lang w:val="en-GB"/>
        </w:rPr>
      </w:pPr>
      <w:r w:rsidRPr="004D38C0">
        <w:rPr>
          <w:i/>
          <w:iCs/>
          <w:color w:val="7A6A55"/>
          <w:sz w:val="21"/>
          <w:szCs w:val="21"/>
          <w:lang w:val="en-GB"/>
        </w:rPr>
        <w:t>Begleitmaterial zum Unterkapitel 2.12 · buecher.effedore.com/das-steuer-und-die-lupe-iso-140012026-doku-2-12/</w:t>
      </w:r>
    </w:p>
    <w:p w14:paraId="03A78985" w14:textId="77777777" w:rsidR="00D33678" w:rsidRPr="004D38C0" w:rsidRDefault="00000000">
      <w:pPr>
        <w:pBdr>
          <w:left w:val="single" w:sz="18" w:space="10" w:color="8C5A2B"/>
        </w:pBdr>
        <w:shd w:val="clear" w:color="auto" w:fill="EFE7DC"/>
        <w:spacing w:before="200" w:after="200"/>
        <w:ind w:left="200" w:right="200"/>
        <w:jc w:val="both"/>
        <w:rPr>
          <w:lang w:val="en-GB"/>
        </w:rPr>
      </w:pPr>
      <w:r w:rsidRPr="004D38C0">
        <w:rPr>
          <w:b/>
          <w:bCs/>
          <w:color w:val="8C5A2B"/>
          <w:lang w:val="en-GB"/>
        </w:rPr>
        <w:t xml:space="preserve">Zweck dieser Seite:  </w:t>
      </w:r>
      <w:r w:rsidRPr="004D38C0">
        <w:rPr>
          <w:lang w:val="en-GB"/>
        </w:rPr>
        <w:t>Dieses letzte Paket des zweiten Kapitels konsolidiert die Emissionsmessung als Grundlage der Managementbewertung. Es enthält: eine Konsolidierung der Emissionsfaktoren für Scope 1, 2 und 3 im DACH-Raum — mit besonderem Fokus auf den Strommix (Scope 2) und die im Volumen bisher nicht behandelten Scope-3-Kategorien —, operative Kalkulatoren als kompilierbare Vorlagen, und eine Methodik der Governance des Umweltdatums nach ISO 14064-3 und GHG Protocol. Ziel: die letzte operative Übersetzung der Anforderungen aus 9.1 (Überwachung, Messung, Analyse und Bewertung) und 9.3 (Managementbewertung) im Klimabereich.</w:t>
      </w:r>
    </w:p>
    <w:p w14:paraId="4D5362E5" w14:textId="77777777" w:rsidR="00D33678" w:rsidRPr="004D38C0" w:rsidRDefault="00000000">
      <w:pPr>
        <w:spacing w:after="150" w:line="280" w:lineRule="auto"/>
        <w:jc w:val="both"/>
        <w:rPr>
          <w:lang w:val="en-GB"/>
        </w:rPr>
      </w:pPr>
      <w:r w:rsidRPr="004D38C0">
        <w:rPr>
          <w:lang w:val="en-GB"/>
        </w:rPr>
        <w:t>Dieses Paket verweist auf die vorangegangenen Pakete des Kapitels — insbesondere Doku 2.8 (CO₂-Kalkulator DACH mit Brennstoff-Faktoren), Doku 2.9 (Wasser) und Doku 2.11 (Scope-3-Kategorie-1 mit Einkaufsfaktoren) — und ergänzt sie ohne Doppelung, um das Bild zu vervollständigen.</w:t>
      </w:r>
    </w:p>
    <w:p w14:paraId="1305D225" w14:textId="77777777" w:rsidR="00D33678" w:rsidRPr="004D38C0" w:rsidRDefault="00000000">
      <w:pPr>
        <w:keepNext/>
        <w:pBdr>
          <w:bottom w:val="single" w:sz="4" w:space="4" w:color="C9BBA6"/>
        </w:pBdr>
        <w:spacing w:before="300" w:after="120"/>
        <w:rPr>
          <w:lang w:val="en-GB"/>
        </w:rPr>
      </w:pPr>
      <w:r w:rsidRPr="004D38C0">
        <w:rPr>
          <w:rFonts w:ascii="Aptos Display" w:eastAsia="Aptos Display" w:hAnsi="Aptos Display" w:cs="Aptos Display"/>
          <w:b/>
          <w:bCs/>
          <w:color w:val="8C5A2B"/>
          <w:sz w:val="28"/>
          <w:szCs w:val="28"/>
          <w:lang w:val="en-GB"/>
        </w:rPr>
        <w:t>1. Konsolidierung der Emissionsfaktoren (Scope 1 · 2 · 3)</w:t>
      </w:r>
    </w:p>
    <w:p w14:paraId="615B9EF2" w14:textId="77777777" w:rsidR="00D33678" w:rsidRPr="004D38C0" w:rsidRDefault="00000000">
      <w:pPr>
        <w:spacing w:after="150" w:line="280" w:lineRule="auto"/>
        <w:jc w:val="both"/>
        <w:rPr>
          <w:lang w:val="en-GB"/>
        </w:rPr>
      </w:pPr>
      <w:r w:rsidRPr="004D38C0">
        <w:rPr>
          <w:lang w:val="en-GB"/>
        </w:rPr>
        <w:t>Die Emissionsfaktoren sind das kritische Bindeglied zwischen Verbrauchsmessung und Emissionsbilanz. Ihre Wahl bestimmt die Vergleichbarkeit im Zeitverlauf und mit anderen Betrieben. Der GHG Protocol Corporate Standard verlangt Kohärenz, Transparenz und Nachweisbarkeit der Quelle für jeden verwendeten Faktor. Der folgende Überblick strukturiert die drei Scopes und verweist auf die operativen Detailtabellen der jeweiligen Doku-Pakete.</w:t>
      </w:r>
    </w:p>
    <w:p w14:paraId="12ED8B06" w14:textId="77777777" w:rsidR="00D33678" w:rsidRPr="004D38C0" w:rsidRDefault="00000000">
      <w:pPr>
        <w:keepNext/>
        <w:spacing w:before="220" w:after="100"/>
        <w:rPr>
          <w:lang w:val="en-GB"/>
        </w:rPr>
      </w:pPr>
      <w:r w:rsidRPr="004D38C0">
        <w:rPr>
          <w:rFonts w:ascii="Aptos Display" w:eastAsia="Aptos Display" w:hAnsi="Aptos Display" w:cs="Aptos Display"/>
          <w:b/>
          <w:bCs/>
          <w:color w:val="8C5A2B"/>
          <w:sz w:val="24"/>
          <w:szCs w:val="24"/>
          <w:lang w:val="en-GB"/>
        </w:rPr>
        <w:t>Master-Übersicht — wo welche Faktoren im Volumen zu finden sind</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900"/>
        <w:gridCol w:w="2600"/>
        <w:gridCol w:w="2800"/>
      </w:tblGrid>
      <w:tr w:rsidR="00D33678" w14:paraId="4CEE049B" w14:textId="77777777">
        <w:tblPrEx>
          <w:tblCellMar>
            <w:top w:w="0" w:type="dxa"/>
            <w:bottom w:w="0" w:type="dxa"/>
          </w:tblCellMar>
        </w:tblPrEx>
        <w:trPr>
          <w:tblHeader/>
        </w:trPr>
        <w:tc>
          <w:tcPr>
            <w:tcW w:w="12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3DFB283E" w14:textId="77777777" w:rsidR="00D33678" w:rsidRDefault="00000000">
            <w:r>
              <w:rPr>
                <w:b/>
                <w:bCs/>
                <w:color w:val="FFFFFF"/>
                <w:sz w:val="21"/>
                <w:szCs w:val="21"/>
              </w:rPr>
              <w:t>Scope</w:t>
            </w:r>
          </w:p>
        </w:tc>
        <w:tc>
          <w:tcPr>
            <w:tcW w:w="29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67439BCD" w14:textId="77777777" w:rsidR="00D33678" w:rsidRDefault="00000000">
            <w:r>
              <w:rPr>
                <w:b/>
                <w:bCs/>
                <w:color w:val="FFFFFF"/>
                <w:sz w:val="21"/>
                <w:szCs w:val="21"/>
              </w:rPr>
              <w:t>Emissionsquelle im Hotel</w:t>
            </w:r>
          </w:p>
        </w:tc>
        <w:tc>
          <w:tcPr>
            <w:tcW w:w="26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27BCFA0A" w14:textId="77777777" w:rsidR="00D33678" w:rsidRDefault="00000000">
            <w:r>
              <w:rPr>
                <w:b/>
                <w:bCs/>
                <w:color w:val="FFFFFF"/>
                <w:sz w:val="21"/>
                <w:szCs w:val="21"/>
              </w:rPr>
              <w:t>Referenz im Volumen</w:t>
            </w:r>
          </w:p>
        </w:tc>
        <w:tc>
          <w:tcPr>
            <w:tcW w:w="28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17D1210F" w14:textId="77777777" w:rsidR="00D33678" w:rsidRDefault="00000000">
            <w:r>
              <w:rPr>
                <w:b/>
                <w:bCs/>
                <w:color w:val="FFFFFF"/>
                <w:sz w:val="21"/>
                <w:szCs w:val="21"/>
              </w:rPr>
              <w:t>Faktor-Quelle</w:t>
            </w:r>
          </w:p>
        </w:tc>
      </w:tr>
      <w:tr w:rsidR="00D33678" w14:paraId="202B4198" w14:textId="77777777">
        <w:tblPrEx>
          <w:tblCellMar>
            <w:top w:w="0" w:type="dxa"/>
            <w:bottom w:w="0" w:type="dxa"/>
          </w:tblCellMar>
        </w:tblPrEx>
        <w:tc>
          <w:tcPr>
            <w:tcW w:w="12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2338513" w14:textId="77777777" w:rsidR="00D33678" w:rsidRDefault="00000000">
            <w:r>
              <w:rPr>
                <w:b/>
                <w:bCs/>
                <w:sz w:val="21"/>
                <w:szCs w:val="21"/>
              </w:rPr>
              <w:t>Scope 1</w:t>
            </w:r>
          </w:p>
        </w:tc>
        <w:tc>
          <w:tcPr>
            <w:tcW w:w="29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D8510C7" w14:textId="77777777" w:rsidR="00D33678" w:rsidRDefault="00000000">
            <w:r>
              <w:rPr>
                <w:sz w:val="21"/>
                <w:szCs w:val="21"/>
              </w:rPr>
              <w:t>Heizung, Warmwasser aus fossilen Brennstoffen</w:t>
            </w:r>
          </w:p>
        </w:tc>
        <w:tc>
          <w:tcPr>
            <w:tcW w:w="2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4E18B32" w14:textId="77777777" w:rsidR="00D33678" w:rsidRDefault="00000000">
            <w:r>
              <w:rPr>
                <w:sz w:val="21"/>
                <w:szCs w:val="21"/>
              </w:rPr>
              <w:t>Doku 2.8 — CO₂-Kalkulator DACH</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BA5BC07" w14:textId="77777777" w:rsidR="00D33678" w:rsidRDefault="00000000">
            <w:r>
              <w:rPr>
                <w:i/>
                <w:iCs/>
                <w:color w:val="7A6A55"/>
                <w:sz w:val="21"/>
                <w:szCs w:val="21"/>
              </w:rPr>
              <w:t>UBA / BFE / Umweltbundesamt AT</w:t>
            </w:r>
          </w:p>
        </w:tc>
      </w:tr>
      <w:tr w:rsidR="00D33678" w14:paraId="75512E58" w14:textId="77777777">
        <w:tblPrEx>
          <w:tblCellMar>
            <w:top w:w="0" w:type="dxa"/>
            <w:bottom w:w="0" w:type="dxa"/>
          </w:tblCellMar>
        </w:tblPrEx>
        <w:tc>
          <w:tcPr>
            <w:tcW w:w="12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680312C" w14:textId="77777777" w:rsidR="00D33678" w:rsidRDefault="00000000">
            <w:r>
              <w:rPr>
                <w:b/>
                <w:bCs/>
                <w:sz w:val="21"/>
                <w:szCs w:val="21"/>
              </w:rPr>
              <w:t>Scope 1</w:t>
            </w:r>
          </w:p>
        </w:tc>
        <w:tc>
          <w:tcPr>
            <w:tcW w:w="29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EEB2D5D" w14:textId="77777777" w:rsidR="00D33678" w:rsidRDefault="00000000">
            <w:r>
              <w:rPr>
                <w:sz w:val="21"/>
                <w:szCs w:val="21"/>
              </w:rPr>
              <w:t>Kältemittelverluste (F-Gase)</w:t>
            </w:r>
          </w:p>
        </w:tc>
        <w:tc>
          <w:tcPr>
            <w:tcW w:w="2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F383475" w14:textId="77777777" w:rsidR="00D33678" w:rsidRDefault="00000000">
            <w:r>
              <w:rPr>
                <w:sz w:val="21"/>
                <w:szCs w:val="21"/>
              </w:rPr>
              <w:t>siehe Abschnitt 1.1 unten</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A414718" w14:textId="77777777" w:rsidR="00D33678" w:rsidRDefault="00000000">
            <w:r>
              <w:rPr>
                <w:i/>
                <w:iCs/>
                <w:color w:val="7A6A55"/>
                <w:sz w:val="21"/>
                <w:szCs w:val="21"/>
              </w:rPr>
              <w:t>IPCC AR6 GWP-Werte [zu prüfen]</w:t>
            </w:r>
          </w:p>
        </w:tc>
      </w:tr>
      <w:tr w:rsidR="00D33678" w14:paraId="632E38A9" w14:textId="77777777">
        <w:tblPrEx>
          <w:tblCellMar>
            <w:top w:w="0" w:type="dxa"/>
            <w:bottom w:w="0" w:type="dxa"/>
          </w:tblCellMar>
        </w:tblPrEx>
        <w:tc>
          <w:tcPr>
            <w:tcW w:w="12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66BE2E0" w14:textId="77777777" w:rsidR="00D33678" w:rsidRDefault="00000000">
            <w:r>
              <w:rPr>
                <w:b/>
                <w:bCs/>
                <w:sz w:val="21"/>
                <w:szCs w:val="21"/>
              </w:rPr>
              <w:t>Scope 1</w:t>
            </w:r>
          </w:p>
        </w:tc>
        <w:tc>
          <w:tcPr>
            <w:tcW w:w="29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3EB7D6C" w14:textId="77777777" w:rsidR="00D33678" w:rsidRDefault="00000000">
            <w:r>
              <w:rPr>
                <w:sz w:val="21"/>
                <w:szCs w:val="21"/>
              </w:rPr>
              <w:t>Fahrzeugflotte (falls vorhanden)</w:t>
            </w:r>
          </w:p>
        </w:tc>
        <w:tc>
          <w:tcPr>
            <w:tcW w:w="2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C376E1A" w14:textId="77777777" w:rsidR="00D33678" w:rsidRDefault="00000000">
            <w:r>
              <w:rPr>
                <w:sz w:val="21"/>
                <w:szCs w:val="21"/>
              </w:rPr>
              <w:t>siehe Abschnitt 1.1 unten</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587BB6E" w14:textId="77777777" w:rsidR="00D33678" w:rsidRDefault="00000000">
            <w:r>
              <w:rPr>
                <w:i/>
                <w:iCs/>
                <w:color w:val="7A6A55"/>
                <w:sz w:val="21"/>
                <w:szCs w:val="21"/>
              </w:rPr>
              <w:t>UBA / BFE / GEMIS</w:t>
            </w:r>
          </w:p>
        </w:tc>
      </w:tr>
      <w:tr w:rsidR="00D33678" w14:paraId="17A125B6" w14:textId="77777777">
        <w:tblPrEx>
          <w:tblCellMar>
            <w:top w:w="0" w:type="dxa"/>
            <w:bottom w:w="0" w:type="dxa"/>
          </w:tblCellMar>
        </w:tblPrEx>
        <w:tc>
          <w:tcPr>
            <w:tcW w:w="12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F409317" w14:textId="77777777" w:rsidR="00D33678" w:rsidRDefault="00000000">
            <w:r>
              <w:rPr>
                <w:b/>
                <w:bCs/>
                <w:sz w:val="21"/>
                <w:szCs w:val="21"/>
              </w:rPr>
              <w:t>Scope 2</w:t>
            </w:r>
          </w:p>
        </w:tc>
        <w:tc>
          <w:tcPr>
            <w:tcW w:w="29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B57E88B" w14:textId="77777777" w:rsidR="00D33678" w:rsidRDefault="00000000">
            <w:r>
              <w:rPr>
                <w:sz w:val="21"/>
                <w:szCs w:val="21"/>
              </w:rPr>
              <w:t>Netzstrom</w:t>
            </w:r>
          </w:p>
        </w:tc>
        <w:tc>
          <w:tcPr>
            <w:tcW w:w="2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680FAD5" w14:textId="77777777" w:rsidR="00D33678" w:rsidRDefault="00000000">
            <w:r>
              <w:rPr>
                <w:sz w:val="21"/>
                <w:szCs w:val="21"/>
              </w:rPr>
              <w:t>siehe Abschnitt 1.2 unten — Strommix DACH</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D238B3B" w14:textId="77777777" w:rsidR="00D33678" w:rsidRDefault="00000000">
            <w:r>
              <w:rPr>
                <w:i/>
                <w:iCs/>
                <w:color w:val="7A6A55"/>
                <w:sz w:val="21"/>
                <w:szCs w:val="21"/>
              </w:rPr>
              <w:t>UBA · BFE · Umweltbundesamt AT — jährlich aktualisiert</w:t>
            </w:r>
          </w:p>
        </w:tc>
      </w:tr>
      <w:tr w:rsidR="00D33678" w14:paraId="524A3426" w14:textId="77777777">
        <w:tblPrEx>
          <w:tblCellMar>
            <w:top w:w="0" w:type="dxa"/>
            <w:bottom w:w="0" w:type="dxa"/>
          </w:tblCellMar>
        </w:tblPrEx>
        <w:tc>
          <w:tcPr>
            <w:tcW w:w="12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C307157" w14:textId="77777777" w:rsidR="00D33678" w:rsidRDefault="00000000">
            <w:r>
              <w:rPr>
                <w:b/>
                <w:bCs/>
                <w:sz w:val="21"/>
                <w:szCs w:val="21"/>
              </w:rPr>
              <w:t>Scope 2</w:t>
            </w:r>
          </w:p>
        </w:tc>
        <w:tc>
          <w:tcPr>
            <w:tcW w:w="29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978CF41" w14:textId="77777777" w:rsidR="00D33678" w:rsidRDefault="00000000">
            <w:r>
              <w:rPr>
                <w:sz w:val="21"/>
                <w:szCs w:val="21"/>
              </w:rPr>
              <w:t>Fernwärme</w:t>
            </w:r>
          </w:p>
        </w:tc>
        <w:tc>
          <w:tcPr>
            <w:tcW w:w="2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AB3B060" w14:textId="77777777" w:rsidR="00D33678" w:rsidRDefault="00000000">
            <w:r>
              <w:rPr>
                <w:sz w:val="21"/>
                <w:szCs w:val="21"/>
              </w:rPr>
              <w:t>siehe Abschnitt 1.2 unten</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A8242D1" w14:textId="77777777" w:rsidR="00D33678" w:rsidRDefault="00000000">
            <w:r>
              <w:rPr>
                <w:i/>
                <w:iCs/>
                <w:color w:val="7A6A55"/>
                <w:sz w:val="21"/>
                <w:szCs w:val="21"/>
              </w:rPr>
              <w:t>Versorger-Deklaration (Primärenergiefaktor)</w:t>
            </w:r>
          </w:p>
        </w:tc>
      </w:tr>
      <w:tr w:rsidR="00D33678" w14:paraId="3BA7097F" w14:textId="77777777">
        <w:tblPrEx>
          <w:tblCellMar>
            <w:top w:w="0" w:type="dxa"/>
            <w:bottom w:w="0" w:type="dxa"/>
          </w:tblCellMar>
        </w:tblPrEx>
        <w:tc>
          <w:tcPr>
            <w:tcW w:w="12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3BF890C" w14:textId="77777777" w:rsidR="00D33678" w:rsidRDefault="00000000">
            <w:r>
              <w:rPr>
                <w:b/>
                <w:bCs/>
                <w:sz w:val="21"/>
                <w:szCs w:val="21"/>
              </w:rPr>
              <w:t>Scope 3</w:t>
            </w:r>
          </w:p>
        </w:tc>
        <w:tc>
          <w:tcPr>
            <w:tcW w:w="29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5F952C5" w14:textId="77777777" w:rsidR="00D33678" w:rsidRDefault="00000000">
            <w:r>
              <w:rPr>
                <w:sz w:val="21"/>
                <w:szCs w:val="21"/>
              </w:rPr>
              <w:t>Kategorie 1 — Einkauf Waren und Dienstleistungen</w:t>
            </w:r>
          </w:p>
        </w:tc>
        <w:tc>
          <w:tcPr>
            <w:tcW w:w="2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8E93F5C" w14:textId="77777777" w:rsidR="00D33678" w:rsidRDefault="00000000">
            <w:r>
              <w:rPr>
                <w:sz w:val="21"/>
                <w:szCs w:val="21"/>
              </w:rPr>
              <w:t>Doku 2.11 — Scope-3-Kategorie-1</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7308690" w14:textId="77777777" w:rsidR="00D33678" w:rsidRDefault="00000000">
            <w:r>
              <w:rPr>
                <w:i/>
                <w:iCs/>
                <w:color w:val="7A6A55"/>
                <w:sz w:val="21"/>
                <w:szCs w:val="21"/>
              </w:rPr>
              <w:t>ecoinvent · ProBas · UBA · Agribalyse</w:t>
            </w:r>
          </w:p>
        </w:tc>
      </w:tr>
      <w:tr w:rsidR="00D33678" w14:paraId="6DC89567" w14:textId="77777777">
        <w:tblPrEx>
          <w:tblCellMar>
            <w:top w:w="0" w:type="dxa"/>
            <w:bottom w:w="0" w:type="dxa"/>
          </w:tblCellMar>
        </w:tblPrEx>
        <w:tc>
          <w:tcPr>
            <w:tcW w:w="12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224160C" w14:textId="77777777" w:rsidR="00D33678" w:rsidRDefault="00000000">
            <w:r>
              <w:rPr>
                <w:b/>
                <w:bCs/>
                <w:sz w:val="21"/>
                <w:szCs w:val="21"/>
              </w:rPr>
              <w:t>Scope 3</w:t>
            </w:r>
          </w:p>
        </w:tc>
        <w:tc>
          <w:tcPr>
            <w:tcW w:w="29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D6E73B9" w14:textId="77777777" w:rsidR="00D33678" w:rsidRDefault="00000000">
            <w:r>
              <w:rPr>
                <w:sz w:val="21"/>
                <w:szCs w:val="21"/>
              </w:rPr>
              <w:t>Kategorie 4 — Vorgelagerter Transport</w:t>
            </w:r>
          </w:p>
        </w:tc>
        <w:tc>
          <w:tcPr>
            <w:tcW w:w="2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15A3DDF" w14:textId="77777777" w:rsidR="00D33678" w:rsidRDefault="00000000">
            <w:r>
              <w:rPr>
                <w:sz w:val="21"/>
                <w:szCs w:val="21"/>
              </w:rPr>
              <w:t>siehe Abschnitt 1.3 unten</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E0480A8" w14:textId="77777777" w:rsidR="00D33678" w:rsidRDefault="00000000">
            <w:r>
              <w:rPr>
                <w:i/>
                <w:iCs/>
                <w:color w:val="7A6A55"/>
                <w:sz w:val="21"/>
                <w:szCs w:val="21"/>
              </w:rPr>
              <w:t>GLEC Framework · UBA-Verkehr</w:t>
            </w:r>
          </w:p>
        </w:tc>
      </w:tr>
      <w:tr w:rsidR="00D33678" w14:paraId="6B1D494D" w14:textId="77777777">
        <w:tblPrEx>
          <w:tblCellMar>
            <w:top w:w="0" w:type="dxa"/>
            <w:bottom w:w="0" w:type="dxa"/>
          </w:tblCellMar>
        </w:tblPrEx>
        <w:tc>
          <w:tcPr>
            <w:tcW w:w="12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3189198" w14:textId="77777777" w:rsidR="00D33678" w:rsidRDefault="00000000">
            <w:r>
              <w:rPr>
                <w:b/>
                <w:bCs/>
                <w:sz w:val="21"/>
                <w:szCs w:val="21"/>
              </w:rPr>
              <w:t>Scope 3</w:t>
            </w:r>
          </w:p>
        </w:tc>
        <w:tc>
          <w:tcPr>
            <w:tcW w:w="29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09653C1" w14:textId="77777777" w:rsidR="00D33678" w:rsidRDefault="00000000">
            <w:r>
              <w:rPr>
                <w:sz w:val="21"/>
                <w:szCs w:val="21"/>
              </w:rPr>
              <w:t>Kategorie 6 — Geschäftsreisen</w:t>
            </w:r>
          </w:p>
        </w:tc>
        <w:tc>
          <w:tcPr>
            <w:tcW w:w="2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217DD4B" w14:textId="77777777" w:rsidR="00D33678" w:rsidRDefault="00000000">
            <w:r>
              <w:rPr>
                <w:sz w:val="21"/>
                <w:szCs w:val="21"/>
              </w:rPr>
              <w:t>siehe Abschnitt 1.3 unten</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8915958" w14:textId="77777777" w:rsidR="00D33678" w:rsidRDefault="00000000">
            <w:r>
              <w:rPr>
                <w:i/>
                <w:iCs/>
                <w:color w:val="7A6A55"/>
                <w:sz w:val="21"/>
                <w:szCs w:val="21"/>
              </w:rPr>
              <w:t>DEFRA · UBA-Verkehr</w:t>
            </w:r>
          </w:p>
        </w:tc>
      </w:tr>
      <w:tr w:rsidR="00D33678" w14:paraId="71860CB1" w14:textId="77777777">
        <w:tblPrEx>
          <w:tblCellMar>
            <w:top w:w="0" w:type="dxa"/>
            <w:bottom w:w="0" w:type="dxa"/>
          </w:tblCellMar>
        </w:tblPrEx>
        <w:tc>
          <w:tcPr>
            <w:tcW w:w="12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D9201FC" w14:textId="77777777" w:rsidR="00D33678" w:rsidRDefault="00000000">
            <w:r>
              <w:rPr>
                <w:b/>
                <w:bCs/>
                <w:sz w:val="21"/>
                <w:szCs w:val="21"/>
              </w:rPr>
              <w:lastRenderedPageBreak/>
              <w:t>Scope 3</w:t>
            </w:r>
          </w:p>
        </w:tc>
        <w:tc>
          <w:tcPr>
            <w:tcW w:w="29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56319DB" w14:textId="77777777" w:rsidR="00D33678" w:rsidRDefault="00000000">
            <w:r>
              <w:rPr>
                <w:sz w:val="21"/>
                <w:szCs w:val="21"/>
              </w:rPr>
              <w:t>Kategorie 7 — Pendlerverkehr Mitarbeitende</w:t>
            </w:r>
          </w:p>
        </w:tc>
        <w:tc>
          <w:tcPr>
            <w:tcW w:w="2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5E3C353" w14:textId="77777777" w:rsidR="00D33678" w:rsidRDefault="00000000">
            <w:r>
              <w:rPr>
                <w:sz w:val="21"/>
                <w:szCs w:val="21"/>
              </w:rPr>
              <w:t>siehe Abschnitt 1.3 unten</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DC8F5B0" w14:textId="77777777" w:rsidR="00D33678" w:rsidRDefault="00000000">
            <w:r>
              <w:rPr>
                <w:i/>
                <w:iCs/>
                <w:color w:val="7A6A55"/>
                <w:sz w:val="21"/>
                <w:szCs w:val="21"/>
              </w:rPr>
              <w:t>DEFRA · UBA-Verkehr</w:t>
            </w:r>
          </w:p>
        </w:tc>
      </w:tr>
      <w:tr w:rsidR="00D33678" w14:paraId="19AE17FB" w14:textId="77777777">
        <w:tblPrEx>
          <w:tblCellMar>
            <w:top w:w="0" w:type="dxa"/>
            <w:bottom w:w="0" w:type="dxa"/>
          </w:tblCellMar>
        </w:tblPrEx>
        <w:tc>
          <w:tcPr>
            <w:tcW w:w="12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EA1E580" w14:textId="77777777" w:rsidR="00D33678" w:rsidRDefault="00000000">
            <w:r>
              <w:rPr>
                <w:b/>
                <w:bCs/>
                <w:sz w:val="21"/>
                <w:szCs w:val="21"/>
              </w:rPr>
              <w:t>Scope 3</w:t>
            </w:r>
          </w:p>
        </w:tc>
        <w:tc>
          <w:tcPr>
            <w:tcW w:w="29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3EE3B6F" w14:textId="77777777" w:rsidR="00D33678" w:rsidRDefault="00000000">
            <w:r>
              <w:rPr>
                <w:sz w:val="21"/>
                <w:szCs w:val="21"/>
              </w:rPr>
              <w:t>Kategorie 11 — Gästeaufenthalt und -anreise</w:t>
            </w:r>
          </w:p>
        </w:tc>
        <w:tc>
          <w:tcPr>
            <w:tcW w:w="2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56B0CA8" w14:textId="77777777" w:rsidR="00D33678" w:rsidRDefault="00000000">
            <w:r>
              <w:rPr>
                <w:sz w:val="21"/>
                <w:szCs w:val="21"/>
              </w:rPr>
              <w:t>siehe Abschnitt 1.3 unten und Doku 2.6 · 2.10</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6D1621F" w14:textId="77777777" w:rsidR="00D33678" w:rsidRDefault="00000000">
            <w:r>
              <w:rPr>
                <w:i/>
                <w:iCs/>
                <w:color w:val="7A6A55"/>
                <w:sz w:val="21"/>
                <w:szCs w:val="21"/>
              </w:rPr>
              <w:t>UBA · DEFRA · Alpine Pearls</w:t>
            </w:r>
          </w:p>
        </w:tc>
      </w:tr>
      <w:tr w:rsidR="00D33678" w14:paraId="69A65E7A" w14:textId="77777777">
        <w:tblPrEx>
          <w:tblCellMar>
            <w:top w:w="0" w:type="dxa"/>
            <w:bottom w:w="0" w:type="dxa"/>
          </w:tblCellMar>
        </w:tblPrEx>
        <w:tc>
          <w:tcPr>
            <w:tcW w:w="12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6DAAE0F" w14:textId="77777777" w:rsidR="00D33678" w:rsidRDefault="00000000">
            <w:r>
              <w:rPr>
                <w:b/>
                <w:bCs/>
                <w:sz w:val="21"/>
                <w:szCs w:val="21"/>
              </w:rPr>
              <w:t>Scope 3</w:t>
            </w:r>
          </w:p>
        </w:tc>
        <w:tc>
          <w:tcPr>
            <w:tcW w:w="29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E543FED" w14:textId="77777777" w:rsidR="00D33678" w:rsidRDefault="00000000">
            <w:r>
              <w:rPr>
                <w:sz w:val="21"/>
                <w:szCs w:val="21"/>
              </w:rPr>
              <w:t>Kategorie 12 — Abfallentsorgung</w:t>
            </w:r>
          </w:p>
        </w:tc>
        <w:tc>
          <w:tcPr>
            <w:tcW w:w="2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1255612" w14:textId="77777777" w:rsidR="00D33678" w:rsidRDefault="00000000">
            <w:r>
              <w:rPr>
                <w:sz w:val="21"/>
                <w:szCs w:val="21"/>
              </w:rPr>
              <w:t>Doku 2.10 — Abfallmanagement</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063A463" w14:textId="77777777" w:rsidR="00D33678" w:rsidRDefault="00000000">
            <w:r>
              <w:rPr>
                <w:i/>
                <w:iCs/>
                <w:color w:val="7A6A55"/>
                <w:sz w:val="21"/>
                <w:szCs w:val="21"/>
              </w:rPr>
              <w:t>UBA · BAFU</w:t>
            </w:r>
          </w:p>
        </w:tc>
      </w:tr>
    </w:tbl>
    <w:p w14:paraId="2E835978" w14:textId="77777777" w:rsidR="00D33678" w:rsidRDefault="00000000">
      <w:pPr>
        <w:keepNext/>
        <w:spacing w:before="220" w:after="100"/>
      </w:pPr>
      <w:r>
        <w:rPr>
          <w:rFonts w:ascii="Aptos Display" w:eastAsia="Aptos Display" w:hAnsi="Aptos Display" w:cs="Aptos Display"/>
          <w:b/>
          <w:bCs/>
          <w:color w:val="8C5A2B"/>
          <w:sz w:val="24"/>
          <w:szCs w:val="24"/>
        </w:rPr>
        <w:t>1.1 Scope 1 — Ergänzungen zum Doku 2.8</w:t>
      </w:r>
    </w:p>
    <w:p w14:paraId="000C20B2" w14:textId="77777777" w:rsidR="00D33678" w:rsidRDefault="00000000">
      <w:pPr>
        <w:spacing w:after="150" w:line="280" w:lineRule="auto"/>
        <w:jc w:val="both"/>
      </w:pPr>
      <w:r>
        <w:t>Neben den Brennstoff-Faktoren des Doku 2.8 gehören zwei häufig vergessene Positionen zu Scope 1: die Kältemittelverluste der Klima- und Kühlanlagen und die Fahrzeugflotte, falls vorhanden.</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1500"/>
        <w:gridCol w:w="2600"/>
        <w:gridCol w:w="2800"/>
      </w:tblGrid>
      <w:tr w:rsidR="00D33678" w14:paraId="6EA279EB" w14:textId="77777777">
        <w:tblPrEx>
          <w:tblCellMar>
            <w:top w:w="0" w:type="dxa"/>
            <w:bottom w:w="0" w:type="dxa"/>
          </w:tblCellMar>
        </w:tblPrEx>
        <w:trPr>
          <w:tblHeader/>
        </w:trPr>
        <w:tc>
          <w:tcPr>
            <w:tcW w:w="26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6C4F06CE" w14:textId="77777777" w:rsidR="00D33678" w:rsidRDefault="00000000">
            <w:r>
              <w:rPr>
                <w:b/>
                <w:bCs/>
                <w:color w:val="FFFFFF"/>
                <w:sz w:val="21"/>
                <w:szCs w:val="21"/>
              </w:rPr>
              <w:t>Position</w:t>
            </w:r>
          </w:p>
        </w:tc>
        <w:tc>
          <w:tcPr>
            <w:tcW w:w="15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2EC50B3E" w14:textId="77777777" w:rsidR="00D33678" w:rsidRDefault="00000000">
            <w:r>
              <w:rPr>
                <w:b/>
                <w:bCs/>
                <w:color w:val="FFFFFF"/>
                <w:sz w:val="21"/>
                <w:szCs w:val="21"/>
              </w:rPr>
              <w:t>Einheit</w:t>
            </w:r>
          </w:p>
        </w:tc>
        <w:tc>
          <w:tcPr>
            <w:tcW w:w="26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584D1B1F" w14:textId="77777777" w:rsidR="00D33678" w:rsidRDefault="00000000">
            <w:r>
              <w:rPr>
                <w:b/>
                <w:bCs/>
                <w:color w:val="FFFFFF"/>
                <w:sz w:val="21"/>
                <w:szCs w:val="21"/>
              </w:rPr>
              <w:t>Emissionsfaktor</w:t>
            </w:r>
          </w:p>
        </w:tc>
        <w:tc>
          <w:tcPr>
            <w:tcW w:w="28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211646AF" w14:textId="77777777" w:rsidR="00D33678" w:rsidRDefault="00000000">
            <w:r>
              <w:rPr>
                <w:b/>
                <w:bCs/>
                <w:color w:val="FFFFFF"/>
                <w:sz w:val="21"/>
                <w:szCs w:val="21"/>
              </w:rPr>
              <w:t>Hinweis</w:t>
            </w:r>
          </w:p>
        </w:tc>
      </w:tr>
      <w:tr w:rsidR="00D33678" w14:paraId="3F8A19E6" w14:textId="77777777">
        <w:tblPrEx>
          <w:tblCellMar>
            <w:top w:w="0" w:type="dxa"/>
            <w:bottom w:w="0" w:type="dxa"/>
          </w:tblCellMar>
        </w:tblPrEx>
        <w:tc>
          <w:tcPr>
            <w:tcW w:w="2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A2C1E1C" w14:textId="77777777" w:rsidR="00D33678" w:rsidRDefault="00000000">
            <w:r>
              <w:rPr>
                <w:b/>
                <w:bCs/>
                <w:sz w:val="21"/>
                <w:szCs w:val="21"/>
              </w:rPr>
              <w:t>Kältemittel R-410A</w:t>
            </w:r>
          </w:p>
        </w:tc>
        <w:tc>
          <w:tcPr>
            <w:tcW w:w="1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98C0E2F" w14:textId="77777777" w:rsidR="00D33678" w:rsidRDefault="00000000">
            <w:r>
              <w:rPr>
                <w:sz w:val="21"/>
                <w:szCs w:val="21"/>
              </w:rPr>
              <w:t>kg Verlust</w:t>
            </w:r>
          </w:p>
        </w:tc>
        <w:tc>
          <w:tcPr>
            <w:tcW w:w="2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D08FE22" w14:textId="77777777" w:rsidR="00D33678" w:rsidRDefault="00000000">
            <w:r>
              <w:rPr>
                <w:sz w:val="21"/>
                <w:szCs w:val="21"/>
              </w:rPr>
              <w:t>2.088 kg CO₂e/kg [zu prüfen]</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D0A4F1E" w14:textId="77777777" w:rsidR="00D33678" w:rsidRDefault="00000000">
            <w:r>
              <w:rPr>
                <w:i/>
                <w:iCs/>
                <w:color w:val="7A6A55"/>
                <w:sz w:val="21"/>
                <w:szCs w:val="21"/>
              </w:rPr>
              <w:t>GWP AR6 IPCC; Verlust aus Wartungsprotokoll</w:t>
            </w:r>
          </w:p>
        </w:tc>
      </w:tr>
      <w:tr w:rsidR="00D33678" w14:paraId="7BBD0FC1" w14:textId="77777777">
        <w:tblPrEx>
          <w:tblCellMar>
            <w:top w:w="0" w:type="dxa"/>
            <w:bottom w:w="0" w:type="dxa"/>
          </w:tblCellMar>
        </w:tblPrEx>
        <w:tc>
          <w:tcPr>
            <w:tcW w:w="2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0106AE4" w14:textId="77777777" w:rsidR="00D33678" w:rsidRDefault="00000000">
            <w:r>
              <w:rPr>
                <w:b/>
                <w:bCs/>
                <w:sz w:val="21"/>
                <w:szCs w:val="21"/>
              </w:rPr>
              <w:t>Kältemittel R-32</w:t>
            </w:r>
          </w:p>
        </w:tc>
        <w:tc>
          <w:tcPr>
            <w:tcW w:w="1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0E17A9C" w14:textId="77777777" w:rsidR="00D33678" w:rsidRDefault="00000000">
            <w:r>
              <w:rPr>
                <w:sz w:val="21"/>
                <w:szCs w:val="21"/>
              </w:rPr>
              <w:t>kg Verlust</w:t>
            </w:r>
          </w:p>
        </w:tc>
        <w:tc>
          <w:tcPr>
            <w:tcW w:w="2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529549D" w14:textId="77777777" w:rsidR="00D33678" w:rsidRDefault="00000000">
            <w:r>
              <w:rPr>
                <w:sz w:val="21"/>
                <w:szCs w:val="21"/>
              </w:rPr>
              <w:t>675 kg CO₂e/kg [zu prüfen]</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D9FEFBD" w14:textId="77777777" w:rsidR="00D33678" w:rsidRDefault="00000000">
            <w:r>
              <w:rPr>
                <w:i/>
                <w:iCs/>
                <w:color w:val="7A6A55"/>
                <w:sz w:val="21"/>
                <w:szCs w:val="21"/>
              </w:rPr>
              <w:t>GWP AR6 IPCC; deutlich niedriger als R-410A</w:t>
            </w:r>
          </w:p>
        </w:tc>
      </w:tr>
      <w:tr w:rsidR="00D33678" w14:paraId="41F18568" w14:textId="77777777">
        <w:tblPrEx>
          <w:tblCellMar>
            <w:top w:w="0" w:type="dxa"/>
            <w:bottom w:w="0" w:type="dxa"/>
          </w:tblCellMar>
        </w:tblPrEx>
        <w:tc>
          <w:tcPr>
            <w:tcW w:w="2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F12671C" w14:textId="77777777" w:rsidR="00D33678" w:rsidRDefault="00000000">
            <w:r>
              <w:rPr>
                <w:b/>
                <w:bCs/>
                <w:sz w:val="21"/>
                <w:szCs w:val="21"/>
              </w:rPr>
              <w:t>Kältemittel R-134a</w:t>
            </w:r>
          </w:p>
        </w:tc>
        <w:tc>
          <w:tcPr>
            <w:tcW w:w="1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00A6ABA" w14:textId="77777777" w:rsidR="00D33678" w:rsidRDefault="00000000">
            <w:r>
              <w:rPr>
                <w:sz w:val="21"/>
                <w:szCs w:val="21"/>
              </w:rPr>
              <w:t>kg Verlust</w:t>
            </w:r>
          </w:p>
        </w:tc>
        <w:tc>
          <w:tcPr>
            <w:tcW w:w="2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AAD14F9" w14:textId="77777777" w:rsidR="00D33678" w:rsidRDefault="00000000">
            <w:r>
              <w:rPr>
                <w:sz w:val="21"/>
                <w:szCs w:val="21"/>
              </w:rPr>
              <w:t>1.430 kg CO₂e/kg [zu prüfen]</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D0A5F28" w14:textId="77777777" w:rsidR="00D33678" w:rsidRDefault="00000000">
            <w:r>
              <w:rPr>
                <w:i/>
                <w:iCs/>
                <w:color w:val="7A6A55"/>
                <w:sz w:val="21"/>
                <w:szCs w:val="21"/>
              </w:rPr>
              <w:t>GWP AR6 IPCC</w:t>
            </w:r>
          </w:p>
        </w:tc>
      </w:tr>
      <w:tr w:rsidR="00D33678" w14:paraId="0A94CE57" w14:textId="77777777">
        <w:tblPrEx>
          <w:tblCellMar>
            <w:top w:w="0" w:type="dxa"/>
            <w:bottom w:w="0" w:type="dxa"/>
          </w:tblCellMar>
        </w:tblPrEx>
        <w:tc>
          <w:tcPr>
            <w:tcW w:w="2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997B4A1" w14:textId="77777777" w:rsidR="00D33678" w:rsidRDefault="00000000">
            <w:r>
              <w:rPr>
                <w:b/>
                <w:bCs/>
                <w:sz w:val="21"/>
                <w:szCs w:val="21"/>
              </w:rPr>
              <w:t>Kältemittel R-1234yf (HFO)</w:t>
            </w:r>
          </w:p>
        </w:tc>
        <w:tc>
          <w:tcPr>
            <w:tcW w:w="1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BF97A1F" w14:textId="77777777" w:rsidR="00D33678" w:rsidRDefault="00000000">
            <w:r>
              <w:rPr>
                <w:sz w:val="21"/>
                <w:szCs w:val="21"/>
              </w:rPr>
              <w:t>kg Verlust</w:t>
            </w:r>
          </w:p>
        </w:tc>
        <w:tc>
          <w:tcPr>
            <w:tcW w:w="2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CCEFE36" w14:textId="77777777" w:rsidR="00D33678" w:rsidRDefault="00000000">
            <w:r>
              <w:rPr>
                <w:sz w:val="21"/>
                <w:szCs w:val="21"/>
              </w:rPr>
              <w:t>4 kg CO₂e/kg [zu prüfen]</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BFB1657" w14:textId="77777777" w:rsidR="00D33678" w:rsidRDefault="00000000">
            <w:r>
              <w:rPr>
                <w:i/>
                <w:iCs/>
                <w:color w:val="7A6A55"/>
                <w:sz w:val="21"/>
                <w:szCs w:val="21"/>
              </w:rPr>
              <w:t>GWP AR6 IPCC; Neuinstallationen</w:t>
            </w:r>
          </w:p>
        </w:tc>
      </w:tr>
      <w:tr w:rsidR="00D33678" w14:paraId="0E5FBE68" w14:textId="77777777">
        <w:tblPrEx>
          <w:tblCellMar>
            <w:top w:w="0" w:type="dxa"/>
            <w:bottom w:w="0" w:type="dxa"/>
          </w:tblCellMar>
        </w:tblPrEx>
        <w:tc>
          <w:tcPr>
            <w:tcW w:w="2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9BCA511" w14:textId="77777777" w:rsidR="00D33678" w:rsidRDefault="00000000">
            <w:r>
              <w:rPr>
                <w:b/>
                <w:bCs/>
                <w:sz w:val="21"/>
                <w:szCs w:val="21"/>
              </w:rPr>
              <w:t>Dieselkraftstoff (Flotte)</w:t>
            </w:r>
          </w:p>
        </w:tc>
        <w:tc>
          <w:tcPr>
            <w:tcW w:w="1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5153F44" w14:textId="77777777" w:rsidR="00D33678" w:rsidRDefault="00000000">
            <w:r>
              <w:rPr>
                <w:sz w:val="21"/>
                <w:szCs w:val="21"/>
              </w:rPr>
              <w:t>Liter</w:t>
            </w:r>
          </w:p>
        </w:tc>
        <w:tc>
          <w:tcPr>
            <w:tcW w:w="2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B28CF1F" w14:textId="77777777" w:rsidR="00D33678" w:rsidRDefault="00000000">
            <w:r>
              <w:rPr>
                <w:sz w:val="21"/>
                <w:szCs w:val="21"/>
              </w:rPr>
              <w:t>2,68 kg CO₂/L [zu prüfen]</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79EB3AD" w14:textId="77777777" w:rsidR="00D33678" w:rsidRDefault="00000000">
            <w:r>
              <w:rPr>
                <w:i/>
                <w:iCs/>
                <w:color w:val="7A6A55"/>
                <w:sz w:val="21"/>
                <w:szCs w:val="21"/>
              </w:rPr>
              <w:t>UBA-Standardfaktor</w:t>
            </w:r>
          </w:p>
        </w:tc>
      </w:tr>
      <w:tr w:rsidR="00D33678" w14:paraId="533D5007" w14:textId="77777777">
        <w:tblPrEx>
          <w:tblCellMar>
            <w:top w:w="0" w:type="dxa"/>
            <w:bottom w:w="0" w:type="dxa"/>
          </w:tblCellMar>
        </w:tblPrEx>
        <w:tc>
          <w:tcPr>
            <w:tcW w:w="2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A1844FF" w14:textId="77777777" w:rsidR="00D33678" w:rsidRDefault="00000000">
            <w:r>
              <w:rPr>
                <w:b/>
                <w:bCs/>
                <w:sz w:val="21"/>
                <w:szCs w:val="21"/>
              </w:rPr>
              <w:t>Benzinkraftstoff (Flotte)</w:t>
            </w:r>
          </w:p>
        </w:tc>
        <w:tc>
          <w:tcPr>
            <w:tcW w:w="1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01B9A5D" w14:textId="77777777" w:rsidR="00D33678" w:rsidRDefault="00000000">
            <w:r>
              <w:rPr>
                <w:sz w:val="21"/>
                <w:szCs w:val="21"/>
              </w:rPr>
              <w:t>Liter</w:t>
            </w:r>
          </w:p>
        </w:tc>
        <w:tc>
          <w:tcPr>
            <w:tcW w:w="2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DFDD6AD" w14:textId="77777777" w:rsidR="00D33678" w:rsidRDefault="00000000">
            <w:r>
              <w:rPr>
                <w:sz w:val="21"/>
                <w:szCs w:val="21"/>
              </w:rPr>
              <w:t>2,37 kg CO₂/L [zu prüfen]</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E216C1D" w14:textId="77777777" w:rsidR="00D33678" w:rsidRDefault="00000000">
            <w:r>
              <w:rPr>
                <w:i/>
                <w:iCs/>
                <w:color w:val="7A6A55"/>
                <w:sz w:val="21"/>
                <w:szCs w:val="21"/>
              </w:rPr>
              <w:t>UBA-Standardfaktor</w:t>
            </w:r>
          </w:p>
        </w:tc>
      </w:tr>
    </w:tbl>
    <w:p w14:paraId="7233FEEC" w14:textId="77777777" w:rsidR="00D33678" w:rsidRDefault="00000000">
      <w:pPr>
        <w:spacing w:after="120" w:line="270" w:lineRule="auto"/>
      </w:pPr>
      <w:r>
        <w:rPr>
          <w:i/>
          <w:iCs/>
          <w:color w:val="7A6A55"/>
          <w:sz w:val="21"/>
          <w:szCs w:val="21"/>
        </w:rPr>
        <w:t>Für Brennstoffe (Heizöl, Erdgas, Flüssiggas, Kohle) siehe die vollständige Tabelle in Doku 2.8 — CO₂-Kalkulator DACH. Die Kältemittelverluste werden aus den Wartungsprotokollen des Kälteanlagenbauers entnommen; die F-Gase-Verordnung EU 517/2014 verpflichtet zur Führung dieser Aufzeichnungen bei Anlagen ab 5 t CO₂e Füllmenge [zu prüfen].</w:t>
      </w:r>
    </w:p>
    <w:p w14:paraId="4FC79088" w14:textId="77777777" w:rsidR="00D33678" w:rsidRDefault="00000000">
      <w:pPr>
        <w:keepNext/>
        <w:spacing w:before="220" w:after="100"/>
      </w:pPr>
      <w:r>
        <w:rPr>
          <w:rFonts w:ascii="Aptos Display" w:eastAsia="Aptos Display" w:hAnsi="Aptos Display" w:cs="Aptos Display"/>
          <w:b/>
          <w:bCs/>
          <w:color w:val="8C5A2B"/>
          <w:sz w:val="24"/>
          <w:szCs w:val="24"/>
        </w:rPr>
        <w:t>1.2 Scope 2 — Strommix DACH</w:t>
      </w:r>
    </w:p>
    <w:p w14:paraId="3600815B" w14:textId="77777777" w:rsidR="00D33678" w:rsidRDefault="00000000">
      <w:pPr>
        <w:spacing w:after="150" w:line="280" w:lineRule="auto"/>
        <w:jc w:val="both"/>
      </w:pPr>
      <w:r>
        <w:t>Der Strommix ist der Faktor, der sich am schnellsten ändert. Der Wechsel des Bezugsjahres kann die Scope-2-Emissionen um 20–40 % verschieben, ohne dass sich am Verbrauch etwas geändert hat. Zwei parallele Berechnungen sind nach GHG Protocol Scope 2 Guidance verpflichtend: location-based (Landesmix) und market-based (Vertragsprodukt).</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98"/>
        <w:gridCol w:w="2326"/>
        <w:gridCol w:w="2468"/>
        <w:gridCol w:w="3208"/>
      </w:tblGrid>
      <w:tr w:rsidR="00D33678" w14:paraId="1136A2AF" w14:textId="77777777">
        <w:tblPrEx>
          <w:tblCellMar>
            <w:top w:w="0" w:type="dxa"/>
            <w:bottom w:w="0" w:type="dxa"/>
          </w:tblCellMar>
        </w:tblPrEx>
        <w:trPr>
          <w:tblHeader/>
        </w:trPr>
        <w:tc>
          <w:tcPr>
            <w:tcW w:w="13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4C6F52A1" w14:textId="77777777" w:rsidR="00D33678" w:rsidRDefault="00000000">
            <w:r>
              <w:rPr>
                <w:b/>
                <w:bCs/>
                <w:color w:val="FFFFFF"/>
                <w:sz w:val="21"/>
                <w:szCs w:val="21"/>
              </w:rPr>
              <w:t>Land</w:t>
            </w:r>
          </w:p>
        </w:tc>
        <w:tc>
          <w:tcPr>
            <w:tcW w:w="24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65C1CAC5" w14:textId="77777777" w:rsidR="00D33678" w:rsidRDefault="00000000">
            <w:r>
              <w:rPr>
                <w:b/>
                <w:bCs/>
                <w:color w:val="FFFFFF"/>
                <w:sz w:val="21"/>
                <w:szCs w:val="21"/>
              </w:rPr>
              <w:t>Location-based (Netzmix)</w:t>
            </w:r>
          </w:p>
        </w:tc>
        <w:tc>
          <w:tcPr>
            <w:tcW w:w="25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568CD110" w14:textId="77777777" w:rsidR="00D33678" w:rsidRDefault="00000000">
            <w:r>
              <w:rPr>
                <w:b/>
                <w:bCs/>
                <w:color w:val="FFFFFF"/>
                <w:sz w:val="21"/>
                <w:szCs w:val="21"/>
              </w:rPr>
              <w:t>Datenquelle</w:t>
            </w:r>
          </w:p>
        </w:tc>
        <w:tc>
          <w:tcPr>
            <w:tcW w:w="33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733D496C" w14:textId="77777777" w:rsidR="00D33678" w:rsidRDefault="00000000">
            <w:r>
              <w:rPr>
                <w:b/>
                <w:bCs/>
                <w:color w:val="FFFFFF"/>
                <w:sz w:val="21"/>
                <w:szCs w:val="21"/>
              </w:rPr>
              <w:t>Trend / Hinweis</w:t>
            </w:r>
          </w:p>
        </w:tc>
      </w:tr>
      <w:tr w:rsidR="00D33678" w14:paraId="70C8B241" w14:textId="77777777">
        <w:tblPrEx>
          <w:tblCellMar>
            <w:top w:w="0" w:type="dxa"/>
            <w:bottom w:w="0" w:type="dxa"/>
          </w:tblCellMar>
        </w:tblPrEx>
        <w:tc>
          <w:tcPr>
            <w:tcW w:w="1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80BBD28" w14:textId="77777777" w:rsidR="00D33678" w:rsidRDefault="00000000">
            <w:r>
              <w:rPr>
                <w:b/>
                <w:bCs/>
                <w:sz w:val="21"/>
                <w:szCs w:val="21"/>
              </w:rPr>
              <w:t>Deutschland</w:t>
            </w:r>
          </w:p>
        </w:tc>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564A076" w14:textId="77777777" w:rsidR="00D33678" w:rsidRDefault="00000000">
            <w:r>
              <w:rPr>
                <w:sz w:val="21"/>
                <w:szCs w:val="21"/>
              </w:rPr>
              <w:t>0,38–0,42 kg CO₂e/kWh [zu prüfen 2025]</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06CD5AA" w14:textId="77777777" w:rsidR="00D33678" w:rsidRDefault="00000000">
            <w:r>
              <w:rPr>
                <w:i/>
                <w:iCs/>
                <w:color w:val="7A6A55"/>
                <w:sz w:val="21"/>
                <w:szCs w:val="21"/>
              </w:rPr>
              <w:t>UBA — jährliche Aktualisierung</w:t>
            </w:r>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A4DABE7" w14:textId="77777777" w:rsidR="00D33678" w:rsidRDefault="00000000">
            <w:r>
              <w:rPr>
                <w:sz w:val="21"/>
                <w:szCs w:val="21"/>
              </w:rPr>
              <w:t>fallend; Kohleausstieg treibt Reduktion; 2020 noch &gt;0,45</w:t>
            </w:r>
          </w:p>
        </w:tc>
      </w:tr>
      <w:tr w:rsidR="00D33678" w14:paraId="1D88397A" w14:textId="77777777">
        <w:tblPrEx>
          <w:tblCellMar>
            <w:top w:w="0" w:type="dxa"/>
            <w:bottom w:w="0" w:type="dxa"/>
          </w:tblCellMar>
        </w:tblPrEx>
        <w:tc>
          <w:tcPr>
            <w:tcW w:w="1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E6B52AF" w14:textId="77777777" w:rsidR="00D33678" w:rsidRDefault="00000000">
            <w:r>
              <w:rPr>
                <w:b/>
                <w:bCs/>
                <w:sz w:val="21"/>
                <w:szCs w:val="21"/>
              </w:rPr>
              <w:t>Österreich</w:t>
            </w:r>
          </w:p>
        </w:tc>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64FF324" w14:textId="77777777" w:rsidR="00D33678" w:rsidRDefault="00000000">
            <w:r>
              <w:rPr>
                <w:sz w:val="21"/>
                <w:szCs w:val="21"/>
              </w:rPr>
              <w:t>0,15–0,25 kg CO₂e/kWh [zu prüfen 2025]</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42F97AD" w14:textId="77777777" w:rsidR="00D33678" w:rsidRDefault="00000000">
            <w:r>
              <w:rPr>
                <w:i/>
                <w:iCs/>
                <w:color w:val="7A6A55"/>
                <w:sz w:val="21"/>
                <w:szCs w:val="21"/>
              </w:rPr>
              <w:t>Umweltbundesamt AT · E-Control</w:t>
            </w:r>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0DA9B65" w14:textId="77777777" w:rsidR="00D33678" w:rsidRDefault="00000000">
            <w:r>
              <w:rPr>
                <w:sz w:val="21"/>
                <w:szCs w:val="21"/>
              </w:rPr>
              <w:t>niedrig; hoher Anteil Wasserkraft</w:t>
            </w:r>
          </w:p>
        </w:tc>
      </w:tr>
      <w:tr w:rsidR="00D33678" w14:paraId="022CC59D" w14:textId="77777777">
        <w:tblPrEx>
          <w:tblCellMar>
            <w:top w:w="0" w:type="dxa"/>
            <w:bottom w:w="0" w:type="dxa"/>
          </w:tblCellMar>
        </w:tblPrEx>
        <w:tc>
          <w:tcPr>
            <w:tcW w:w="1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E11B140" w14:textId="77777777" w:rsidR="00D33678" w:rsidRDefault="00000000">
            <w:r>
              <w:rPr>
                <w:b/>
                <w:bCs/>
                <w:sz w:val="21"/>
                <w:szCs w:val="21"/>
              </w:rPr>
              <w:t>Schweiz</w:t>
            </w:r>
          </w:p>
        </w:tc>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7C99301" w14:textId="77777777" w:rsidR="00D33678" w:rsidRDefault="00000000">
            <w:r>
              <w:rPr>
                <w:sz w:val="21"/>
                <w:szCs w:val="21"/>
              </w:rPr>
              <w:t>0,03–0,15 kg CO₂e/kWh [zu prüfen 2025]</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B197463" w14:textId="77777777" w:rsidR="00D33678" w:rsidRDefault="00000000">
            <w:r>
              <w:rPr>
                <w:i/>
                <w:iCs/>
                <w:color w:val="7A6A55"/>
                <w:sz w:val="21"/>
                <w:szCs w:val="21"/>
              </w:rPr>
              <w:t>BFE · KBOB</w:t>
            </w:r>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A92F0CD" w14:textId="77777777" w:rsidR="00D33678" w:rsidRDefault="00000000">
            <w:r>
              <w:rPr>
                <w:sz w:val="21"/>
                <w:szCs w:val="21"/>
              </w:rPr>
              <w:t>sehr niedrig für inländische Erzeugung; höher bei Berücksichtigung Nettoimporte</w:t>
            </w:r>
          </w:p>
        </w:tc>
      </w:tr>
      <w:tr w:rsidR="00D33678" w14:paraId="441AA42B" w14:textId="77777777">
        <w:tblPrEx>
          <w:tblCellMar>
            <w:top w:w="0" w:type="dxa"/>
            <w:bottom w:w="0" w:type="dxa"/>
          </w:tblCellMar>
        </w:tblPrEx>
        <w:tc>
          <w:tcPr>
            <w:tcW w:w="1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AA5C30C" w14:textId="77777777" w:rsidR="00D33678" w:rsidRDefault="00000000">
            <w:r>
              <w:rPr>
                <w:b/>
                <w:bCs/>
                <w:sz w:val="21"/>
                <w:szCs w:val="21"/>
              </w:rPr>
              <w:lastRenderedPageBreak/>
              <w:t>EU-Durchschnitt</w:t>
            </w:r>
          </w:p>
        </w:tc>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43860E1" w14:textId="77777777" w:rsidR="00D33678" w:rsidRDefault="00000000">
            <w:r>
              <w:rPr>
                <w:sz w:val="21"/>
                <w:szCs w:val="21"/>
              </w:rPr>
              <w:t>0,23–0,28 kg CO₂e/kWh [zu prüfen 2025]</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1E96714" w14:textId="77777777" w:rsidR="00D33678" w:rsidRDefault="00000000">
            <w:r>
              <w:rPr>
                <w:i/>
                <w:iCs/>
                <w:color w:val="7A6A55"/>
                <w:sz w:val="21"/>
                <w:szCs w:val="21"/>
              </w:rPr>
              <w:t>EEA — European Environment Agency</w:t>
            </w:r>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2244293" w14:textId="77777777" w:rsidR="00D33678" w:rsidRDefault="00000000">
            <w:r>
              <w:rPr>
                <w:sz w:val="21"/>
                <w:szCs w:val="21"/>
              </w:rPr>
              <w:t>nur als Referenz, nicht für nationale Bilanzen</w:t>
            </w:r>
          </w:p>
        </w:tc>
      </w:tr>
    </w:tbl>
    <w:p w14:paraId="4D18EA40" w14:textId="77777777" w:rsidR="00D33678" w:rsidRDefault="00000000">
      <w:pPr>
        <w:keepNext/>
        <w:spacing w:before="220" w:after="100"/>
      </w:pPr>
      <w:r>
        <w:rPr>
          <w:rFonts w:ascii="Aptos Display" w:eastAsia="Aptos Display" w:hAnsi="Aptos Display" w:cs="Aptos Display"/>
          <w:b/>
          <w:bCs/>
          <w:color w:val="8C5A2B"/>
          <w:sz w:val="24"/>
          <w:szCs w:val="24"/>
        </w:rPr>
        <w:t>Market-based — Faktoren nach Vertragsprodukt</w:t>
      </w:r>
    </w:p>
    <w:p w14:paraId="4FDF87EB" w14:textId="77777777" w:rsidR="00D33678" w:rsidRDefault="00000000">
      <w:pPr>
        <w:pStyle w:val="Paragrafoelenco"/>
        <w:numPr>
          <w:ilvl w:val="0"/>
          <w:numId w:val="1"/>
        </w:numPr>
        <w:spacing w:after="80" w:line="270" w:lineRule="auto"/>
      </w:pPr>
      <w:r>
        <w:t>Grüner Strom mit Herkunftsnachweis (naturemade star CH, Naturstrom / ok-power DE): 0,00 kg CO₂e/kWh gemäß Scope 2 Guidance [zu prüfen; Bedingungen der Zertifizierung].</w:t>
      </w:r>
    </w:p>
    <w:p w14:paraId="4D6E2713" w14:textId="77777777" w:rsidR="00D33678" w:rsidRDefault="00000000">
      <w:pPr>
        <w:pStyle w:val="Paragrafoelenco"/>
        <w:numPr>
          <w:ilvl w:val="0"/>
          <w:numId w:val="1"/>
        </w:numPr>
        <w:spacing w:after="80" w:line="270" w:lineRule="auto"/>
      </w:pPr>
      <w:r>
        <w:t>Grüner Strom aus Wasserkraft ohne Zusätzlichkeit: 0,00 kg CO₂e/kWh gemäß Zertifikat [zu prüfen — Zusätzlichkeitskriterien].</w:t>
      </w:r>
    </w:p>
    <w:p w14:paraId="15DDE28A" w14:textId="77777777" w:rsidR="00D33678" w:rsidRDefault="00000000">
      <w:pPr>
        <w:pStyle w:val="Paragrafoelenco"/>
        <w:numPr>
          <w:ilvl w:val="0"/>
          <w:numId w:val="1"/>
        </w:numPr>
        <w:spacing w:after="80" w:line="270" w:lineRule="auto"/>
      </w:pPr>
      <w:r>
        <w:t>Standardprodukt des Versorgers: Faktor laut Deklaration nach § 42 EnWG (DE) bzw. entsprechenden nationalen Regeln — häufig 0,20–0,40 kg CO₂e/kWh [zu prüfen].</w:t>
      </w:r>
    </w:p>
    <w:p w14:paraId="7C488B6A" w14:textId="77777777" w:rsidR="00D33678" w:rsidRDefault="00000000">
      <w:pPr>
        <w:pStyle w:val="Paragrafoelenco"/>
        <w:numPr>
          <w:ilvl w:val="0"/>
          <w:numId w:val="1"/>
        </w:numPr>
        <w:spacing w:after="80" w:line="270" w:lineRule="auto"/>
      </w:pPr>
      <w:r>
        <w:t>Residualmix (wenn kein Nachweis vorliegt): AIB European Residual Mixes — jährliche Publikation. Fundstelle: aib-net.org.</w:t>
      </w:r>
    </w:p>
    <w:p w14:paraId="0619660F" w14:textId="77777777" w:rsidR="00D33678" w:rsidRDefault="00000000">
      <w:pPr>
        <w:pBdr>
          <w:left w:val="single" w:sz="18" w:space="10" w:color="8C5A2B"/>
        </w:pBdr>
        <w:shd w:val="clear" w:color="auto" w:fill="EFE7DC"/>
        <w:spacing w:before="200" w:after="200"/>
        <w:ind w:left="200" w:right="200"/>
        <w:jc w:val="both"/>
      </w:pPr>
      <w:r>
        <w:rPr>
          <w:b/>
          <w:bCs/>
          <w:color w:val="8C5A2B"/>
        </w:rPr>
        <w:t xml:space="preserve">Wichtige Regel:  </w:t>
      </w:r>
      <w:r>
        <w:t>Die parallele Berichterstattung von location-based UND market-based ist nach GHG Protocol Scope 2 Guidance verpflichtend. Nur so ist die Wirkung des Grünstromvertrags transparent — er senkt die market-based Emissionen, nicht die location-based, die den realen Netzimpakt zeigen.</w:t>
      </w:r>
    </w:p>
    <w:p w14:paraId="176D0D5E" w14:textId="77777777" w:rsidR="00D33678" w:rsidRDefault="00000000">
      <w:pPr>
        <w:keepNext/>
        <w:spacing w:before="220" w:after="100"/>
      </w:pPr>
      <w:r>
        <w:rPr>
          <w:rFonts w:ascii="Aptos Display" w:eastAsia="Aptos Display" w:hAnsi="Aptos Display" w:cs="Aptos Display"/>
          <w:b/>
          <w:bCs/>
          <w:color w:val="8C5A2B"/>
          <w:sz w:val="24"/>
          <w:szCs w:val="24"/>
        </w:rPr>
        <w:t>Fernwärme-Faktoren</w:t>
      </w:r>
    </w:p>
    <w:p w14:paraId="4DA6804D" w14:textId="77777777" w:rsidR="00D33678" w:rsidRDefault="00000000">
      <w:pPr>
        <w:pStyle w:val="Paragrafoelenco"/>
        <w:numPr>
          <w:ilvl w:val="0"/>
          <w:numId w:val="1"/>
        </w:numPr>
        <w:spacing w:after="80" w:line="270" w:lineRule="auto"/>
      </w:pPr>
      <w:r>
        <w:t>Der Emissionsfaktor der Fernwärme wird vom Versorger im Vertrag oder auf der Website deklariert (Primärenergiefaktor × Emissionsfaktor Erzeugung).</w:t>
      </w:r>
    </w:p>
    <w:p w14:paraId="0794E9CF" w14:textId="77777777" w:rsidR="00D33678" w:rsidRDefault="00000000">
      <w:pPr>
        <w:pStyle w:val="Paragrafoelenco"/>
        <w:numPr>
          <w:ilvl w:val="0"/>
          <w:numId w:val="1"/>
        </w:numPr>
        <w:spacing w:after="80" w:line="270" w:lineRule="auto"/>
      </w:pPr>
      <w:r>
        <w:t>Bandbreite in DACH: 0,05–0,25 kg CO₂e/kWh [zu prüfen; extreme Streuung nach Netz und Quelle].</w:t>
      </w:r>
    </w:p>
    <w:p w14:paraId="76DA69E3" w14:textId="77777777" w:rsidR="00D33678" w:rsidRDefault="00000000">
      <w:pPr>
        <w:pStyle w:val="Paragrafoelenco"/>
        <w:numPr>
          <w:ilvl w:val="0"/>
          <w:numId w:val="1"/>
        </w:numPr>
        <w:spacing w:after="80" w:line="270" w:lineRule="auto"/>
      </w:pPr>
      <w:r>
        <w:t>Ein Fernwärmenetz mit hohem Anteil Abwärme oder Geothermie kann unter 0,10 liegen; ein Netz mit fossilem Grundlastanteil deutlich höher.</w:t>
      </w:r>
    </w:p>
    <w:p w14:paraId="341D1271" w14:textId="77777777" w:rsidR="00D33678" w:rsidRDefault="00000000">
      <w:pPr>
        <w:keepNext/>
        <w:spacing w:before="220" w:after="100"/>
      </w:pPr>
      <w:r>
        <w:rPr>
          <w:rFonts w:ascii="Aptos Display" w:eastAsia="Aptos Display" w:hAnsi="Aptos Display" w:cs="Aptos Display"/>
          <w:b/>
          <w:bCs/>
          <w:color w:val="8C5A2B"/>
          <w:sz w:val="24"/>
          <w:szCs w:val="24"/>
        </w:rPr>
        <w:t>1.3 Scope 3 — Ergänzungen zum Doku 2.11 (Kategorien 4, 6, 7, 11)</w:t>
      </w:r>
    </w:p>
    <w:p w14:paraId="5A593EF5" w14:textId="77777777" w:rsidR="00D33678" w:rsidRDefault="00000000">
      <w:pPr>
        <w:spacing w:after="150" w:line="280" w:lineRule="auto"/>
        <w:jc w:val="both"/>
      </w:pPr>
      <w:r>
        <w:t>Neben der Kategorie 1 (Einkauf, siehe Doku 2.11) sind für Beherbergungsbetriebe vier weitere Scope-3-Kategorien wesentlich.</w:t>
      </w:r>
    </w:p>
    <w:p w14:paraId="2CD128E7" w14:textId="77777777" w:rsidR="00D33678" w:rsidRDefault="00000000">
      <w:pPr>
        <w:spacing w:before="120" w:after="60"/>
      </w:pPr>
      <w:r>
        <w:rPr>
          <w:b/>
          <w:bCs/>
          <w:sz w:val="23"/>
          <w:szCs w:val="23"/>
        </w:rPr>
        <w:t>Kategorie 4 — Vorgelagerter Transport</w:t>
      </w:r>
    </w:p>
    <w:p w14:paraId="6F1AEEF8" w14:textId="77777777" w:rsidR="00D33678" w:rsidRDefault="00000000">
      <w:pPr>
        <w:pStyle w:val="Paragrafoelenco"/>
        <w:numPr>
          <w:ilvl w:val="0"/>
          <w:numId w:val="1"/>
        </w:numPr>
        <w:spacing w:after="80" w:line="270" w:lineRule="auto"/>
      </w:pPr>
      <w:r>
        <w:t>LKW-Transport, allgemein: 0,08–0,15 kg CO₂e/t·km [zu prüfen — GLEC Framework, DEFRA]</w:t>
      </w:r>
    </w:p>
    <w:p w14:paraId="774EA41D" w14:textId="77777777" w:rsidR="00D33678" w:rsidRDefault="00000000">
      <w:pPr>
        <w:pStyle w:val="Paragrafoelenco"/>
        <w:numPr>
          <w:ilvl w:val="0"/>
          <w:numId w:val="1"/>
        </w:numPr>
        <w:spacing w:after="80" w:line="270" w:lineRule="auto"/>
      </w:pPr>
      <w:r>
        <w:t>Bahn Frachttransport: 0,02–0,05 kg CO₂e/t·km [zu prüfen]</w:t>
      </w:r>
    </w:p>
    <w:p w14:paraId="1EFAEED6" w14:textId="77777777" w:rsidR="00D33678" w:rsidRDefault="00000000">
      <w:pPr>
        <w:pStyle w:val="Paragrafoelenco"/>
        <w:numPr>
          <w:ilvl w:val="0"/>
          <w:numId w:val="1"/>
        </w:numPr>
        <w:spacing w:after="80" w:line="270" w:lineRule="auto"/>
      </w:pPr>
      <w:r>
        <w:t>Luftfracht (in der Regel nicht relevant im Gastgewerbe): 0,50–1,20 kg CO₂e/t·km</w:t>
      </w:r>
    </w:p>
    <w:p w14:paraId="1BA95CCA" w14:textId="77777777" w:rsidR="00D33678" w:rsidRDefault="00000000">
      <w:pPr>
        <w:spacing w:before="120" w:after="60"/>
      </w:pPr>
      <w:r>
        <w:rPr>
          <w:b/>
          <w:bCs/>
          <w:sz w:val="23"/>
          <w:szCs w:val="23"/>
        </w:rPr>
        <w:t>Kategorie 6 — Geschäftsreisen</w:t>
      </w:r>
    </w:p>
    <w:p w14:paraId="4B596B14" w14:textId="77777777" w:rsidR="00D33678" w:rsidRDefault="00000000">
      <w:pPr>
        <w:pStyle w:val="Paragrafoelenco"/>
        <w:numPr>
          <w:ilvl w:val="0"/>
          <w:numId w:val="1"/>
        </w:numPr>
        <w:spacing w:after="80" w:line="270" w:lineRule="auto"/>
      </w:pPr>
      <w:r>
        <w:t>PKW (Diesel): 0,17 kg CO₂e/Personen·km [zu prüfen — UBA]</w:t>
      </w:r>
    </w:p>
    <w:p w14:paraId="406DB2DC" w14:textId="77777777" w:rsidR="00D33678" w:rsidRDefault="00000000">
      <w:pPr>
        <w:pStyle w:val="Paragrafoelenco"/>
        <w:numPr>
          <w:ilvl w:val="0"/>
          <w:numId w:val="1"/>
        </w:numPr>
        <w:spacing w:after="80" w:line="270" w:lineRule="auto"/>
      </w:pPr>
      <w:r>
        <w:t>PKW (Benzin): 0,20 kg CO₂e/Personen·km [zu prüfen]</w:t>
      </w:r>
    </w:p>
    <w:p w14:paraId="4B737E88" w14:textId="77777777" w:rsidR="00D33678" w:rsidRDefault="00000000">
      <w:pPr>
        <w:pStyle w:val="Paragrafoelenco"/>
        <w:numPr>
          <w:ilvl w:val="0"/>
          <w:numId w:val="1"/>
        </w:numPr>
        <w:spacing w:after="80" w:line="270" w:lineRule="auto"/>
      </w:pPr>
      <w:r>
        <w:t>Bahn Fernverkehr: 0,03–0,05 kg CO₂e/Personen·km [zu prüfen — nationaler Strommix]</w:t>
      </w:r>
    </w:p>
    <w:p w14:paraId="28CA14BA" w14:textId="77777777" w:rsidR="00D33678" w:rsidRDefault="00000000">
      <w:pPr>
        <w:pStyle w:val="Paragrafoelenco"/>
        <w:numPr>
          <w:ilvl w:val="0"/>
          <w:numId w:val="1"/>
        </w:numPr>
        <w:spacing w:after="80" w:line="270" w:lineRule="auto"/>
      </w:pPr>
      <w:r>
        <w:t>Flug Kurzstrecke (&lt;1.500 km): 0,25–0,30 kg CO₂e/Personen·km [zu prüfen — DEFRA, inklusive RFI]</w:t>
      </w:r>
    </w:p>
    <w:p w14:paraId="6B89FDEE" w14:textId="77777777" w:rsidR="00D33678" w:rsidRDefault="00000000">
      <w:pPr>
        <w:pStyle w:val="Paragrafoelenco"/>
        <w:numPr>
          <w:ilvl w:val="0"/>
          <w:numId w:val="1"/>
        </w:numPr>
        <w:spacing w:after="80" w:line="270" w:lineRule="auto"/>
      </w:pPr>
      <w:r>
        <w:t>Flug Mittelstrecke (1.500–3.700 km): 0,20 kg CO₂e/Personen·km [zu prüfen]</w:t>
      </w:r>
    </w:p>
    <w:p w14:paraId="27DF95EA" w14:textId="77777777" w:rsidR="00D33678" w:rsidRDefault="00000000">
      <w:pPr>
        <w:pStyle w:val="Paragrafoelenco"/>
        <w:numPr>
          <w:ilvl w:val="0"/>
          <w:numId w:val="1"/>
        </w:numPr>
        <w:spacing w:after="80" w:line="270" w:lineRule="auto"/>
      </w:pPr>
      <w:r>
        <w:t>Flug Langstrecke (&gt;3.700 km): 0,15–0,18 kg CO₂e/Personen·km [zu prüfen]</w:t>
      </w:r>
    </w:p>
    <w:p w14:paraId="4786EEA0" w14:textId="77777777" w:rsidR="00D33678" w:rsidRDefault="00000000">
      <w:pPr>
        <w:spacing w:before="120" w:after="60"/>
      </w:pPr>
      <w:r>
        <w:rPr>
          <w:b/>
          <w:bCs/>
          <w:sz w:val="23"/>
          <w:szCs w:val="23"/>
        </w:rPr>
        <w:lastRenderedPageBreak/>
        <w:t>Kategorie 7 — Pendlerverkehr der Mitarbeitenden</w:t>
      </w:r>
    </w:p>
    <w:p w14:paraId="1E7D47F1" w14:textId="77777777" w:rsidR="00D33678" w:rsidRDefault="00000000">
      <w:pPr>
        <w:pStyle w:val="Paragrafoelenco"/>
        <w:numPr>
          <w:ilvl w:val="0"/>
          <w:numId w:val="1"/>
        </w:numPr>
        <w:spacing w:after="80" w:line="270" w:lineRule="auto"/>
      </w:pPr>
      <w:r>
        <w:t>Erhebung durch anonyme Mitarbeitendenbefragung (Verkehrsmittel, Distanz, Frequenz) — einmal jährlich.</w:t>
      </w:r>
    </w:p>
    <w:p w14:paraId="473DBDE5" w14:textId="77777777" w:rsidR="00D33678" w:rsidRDefault="00000000">
      <w:pPr>
        <w:pStyle w:val="Paragrafoelenco"/>
        <w:numPr>
          <w:ilvl w:val="0"/>
          <w:numId w:val="1"/>
        </w:numPr>
        <w:spacing w:after="80" w:line="270" w:lineRule="auto"/>
      </w:pPr>
      <w:r>
        <w:t>Emissionsfaktoren wie Kategorie 6.</w:t>
      </w:r>
    </w:p>
    <w:p w14:paraId="26AACFC3" w14:textId="77777777" w:rsidR="00D33678" w:rsidRDefault="00000000">
      <w:pPr>
        <w:pStyle w:val="Paragrafoelenco"/>
        <w:numPr>
          <w:ilvl w:val="0"/>
          <w:numId w:val="1"/>
        </w:numPr>
        <w:spacing w:after="80" w:line="270" w:lineRule="auto"/>
      </w:pPr>
      <w:r>
        <w:t>Häufig unterschätzt, kann in ländlichen Betrieben wesentlich sein.</w:t>
      </w:r>
    </w:p>
    <w:p w14:paraId="01F12FF4" w14:textId="77777777" w:rsidR="00D33678" w:rsidRDefault="00000000">
      <w:pPr>
        <w:spacing w:before="120" w:after="60"/>
      </w:pPr>
      <w:r>
        <w:rPr>
          <w:b/>
          <w:bCs/>
          <w:sz w:val="23"/>
          <w:szCs w:val="23"/>
        </w:rPr>
        <w:t>Kategorie 11 — Gästeaufenthalt und An-/Abreise</w:t>
      </w:r>
    </w:p>
    <w:p w14:paraId="1CC95B64" w14:textId="77777777" w:rsidR="00D33678" w:rsidRDefault="00000000">
      <w:pPr>
        <w:pStyle w:val="Paragrafoelenco"/>
        <w:numPr>
          <w:ilvl w:val="0"/>
          <w:numId w:val="1"/>
        </w:numPr>
        <w:spacing w:after="80" w:line="270" w:lineRule="auto"/>
      </w:pPr>
      <w:r>
        <w:t>Der Gästeaufenthalt selbst ist bereits in Scope 1, 2 und den anderen Scope-3-Kategorien enthalten — kein doppelter Ausweis.</w:t>
      </w:r>
    </w:p>
    <w:p w14:paraId="73C3C433" w14:textId="77777777" w:rsidR="00D33678" w:rsidRDefault="00000000">
      <w:pPr>
        <w:pStyle w:val="Paragrafoelenco"/>
        <w:numPr>
          <w:ilvl w:val="0"/>
          <w:numId w:val="1"/>
        </w:numPr>
        <w:spacing w:after="80" w:line="270" w:lineRule="auto"/>
      </w:pPr>
      <w:r>
        <w:t>Die An-/Abreise der Gäste ist der einzige zusätzliche Posten und häufig der größte Einzelbeitrag der Klimabilanz eines Hotels — oft mehr als Scope 1 und 2 zusammen [zu prüfen].</w:t>
      </w:r>
    </w:p>
    <w:p w14:paraId="384AC433" w14:textId="77777777" w:rsidR="00D33678" w:rsidRDefault="00000000">
      <w:pPr>
        <w:pStyle w:val="Paragrafoelenco"/>
        <w:numPr>
          <w:ilvl w:val="0"/>
          <w:numId w:val="1"/>
        </w:numPr>
        <w:spacing w:after="80" w:line="270" w:lineRule="auto"/>
      </w:pPr>
      <w:r>
        <w:t>Erhebung: Check-in-Befragung (Herkunft, Verkehrsmittel), stichprobenartige Auswertung.</w:t>
      </w:r>
    </w:p>
    <w:p w14:paraId="2755B31E" w14:textId="77777777" w:rsidR="00D33678" w:rsidRDefault="00000000">
      <w:pPr>
        <w:pStyle w:val="Paragrafoelenco"/>
        <w:numPr>
          <w:ilvl w:val="0"/>
          <w:numId w:val="1"/>
        </w:numPr>
        <w:spacing w:after="80" w:line="270" w:lineRule="auto"/>
      </w:pPr>
      <w:r>
        <w:t>Emissionsfaktoren wie Kategorie 6.</w:t>
      </w:r>
    </w:p>
    <w:p w14:paraId="1DC55088" w14:textId="77777777" w:rsidR="00D33678" w:rsidRDefault="00000000">
      <w:pPr>
        <w:pBdr>
          <w:left w:val="single" w:sz="18" w:space="10" w:color="8C5A2B"/>
        </w:pBdr>
        <w:shd w:val="clear" w:color="auto" w:fill="EFE7DC"/>
        <w:spacing w:before="200" w:after="200"/>
        <w:ind w:left="200" w:right="200"/>
        <w:jc w:val="both"/>
      </w:pPr>
      <w:r>
        <w:rPr>
          <w:b/>
          <w:bCs/>
          <w:color w:val="8C5A2B"/>
        </w:rPr>
        <w:t xml:space="preserve">Priorisierung nach dem GHG Protocol:  </w:t>
      </w:r>
      <w:r>
        <w:t>Der Standard verlangt nicht, alle 15 Scope-3-Kategorien zu berechnen — sondern die wesentlichen. „Wesentlich“ heißt in der Regel: alle Kategorien, die zusammen ≥95 % der Scope-3-Emissionen ausmachen. Für Beherbergungsbetriebe sind das üblicherweise Kategorie 1 (Einkauf), Kategorie 11 (Gäste-Anreise) und Kategorie 6/7 (Geschäftsreisen/Pendler). Alle anderen können mit Begründung ausgeschlossen werden.</w:t>
      </w:r>
    </w:p>
    <w:p w14:paraId="35AF2196" w14:textId="77777777" w:rsidR="00D33678" w:rsidRDefault="00000000">
      <w:pPr>
        <w:keepNext/>
        <w:pBdr>
          <w:bottom w:val="single" w:sz="4" w:space="4" w:color="C9BBA6"/>
        </w:pBdr>
        <w:spacing w:before="300" w:after="120"/>
      </w:pPr>
      <w:r>
        <w:rPr>
          <w:rFonts w:ascii="Aptos Display" w:eastAsia="Aptos Display" w:hAnsi="Aptos Display" w:cs="Aptos Display"/>
          <w:b/>
          <w:bCs/>
          <w:color w:val="8C5A2B"/>
          <w:sz w:val="28"/>
          <w:szCs w:val="28"/>
        </w:rPr>
        <w:t>2. Operative Kalkulatoren</w:t>
      </w:r>
    </w:p>
    <w:p w14:paraId="1AA84977" w14:textId="77777777" w:rsidR="00D33678" w:rsidRDefault="00000000">
      <w:pPr>
        <w:spacing w:after="150" w:line="280" w:lineRule="auto"/>
        <w:jc w:val="both"/>
      </w:pPr>
      <w:r>
        <w:t>Die folgenden Vorlagen sind als kompilierbare Rechenblätter gedacht. Sie geben die Struktur wieder, in der die Berechnung nach GHG Protocol dokumentiert werden muss — Aktivitätsdatum, Emissionsfaktor, Emissionen. Die Vorlagen sind bewusst einfach gehalten und lassen sich in eine Tabellenkalkulation übertragen.</w:t>
      </w:r>
    </w:p>
    <w:p w14:paraId="45172921" w14:textId="77777777" w:rsidR="00D33678" w:rsidRDefault="00000000">
      <w:pPr>
        <w:keepNext/>
        <w:spacing w:before="220" w:after="100"/>
      </w:pPr>
      <w:r>
        <w:rPr>
          <w:rFonts w:ascii="Aptos Display" w:eastAsia="Aptos Display" w:hAnsi="Aptos Display" w:cs="Aptos Display"/>
          <w:b/>
          <w:bCs/>
          <w:color w:val="8C5A2B"/>
          <w:sz w:val="24"/>
          <w:szCs w:val="24"/>
        </w:rPr>
        <w:t>2.1 Konsolidierungs-Kalkulator — Jahresübersicht</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3"/>
        <w:gridCol w:w="3425"/>
        <w:gridCol w:w="2668"/>
        <w:gridCol w:w="2414"/>
      </w:tblGrid>
      <w:tr w:rsidR="00D33678" w14:paraId="09FE3955" w14:textId="77777777">
        <w:tblPrEx>
          <w:tblCellMar>
            <w:top w:w="0" w:type="dxa"/>
            <w:bottom w:w="0" w:type="dxa"/>
          </w:tblCellMar>
        </w:tblPrEx>
        <w:trPr>
          <w:tblHeader/>
        </w:trPr>
        <w:tc>
          <w:tcPr>
            <w:tcW w:w="10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2491BB18" w14:textId="77777777" w:rsidR="00D33678" w:rsidRDefault="00000000">
            <w:r>
              <w:rPr>
                <w:b/>
                <w:bCs/>
                <w:color w:val="FFFFFF"/>
                <w:sz w:val="21"/>
                <w:szCs w:val="21"/>
              </w:rPr>
              <w:t>Scope</w:t>
            </w:r>
          </w:p>
        </w:tc>
        <w:tc>
          <w:tcPr>
            <w:tcW w:w="35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05C354F9" w14:textId="77777777" w:rsidR="00D33678" w:rsidRDefault="00000000">
            <w:r>
              <w:rPr>
                <w:b/>
                <w:bCs/>
                <w:color w:val="FFFFFF"/>
                <w:sz w:val="21"/>
                <w:szCs w:val="21"/>
              </w:rPr>
              <w:t>Position</w:t>
            </w:r>
          </w:p>
        </w:tc>
        <w:tc>
          <w:tcPr>
            <w:tcW w:w="25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319F9259" w14:textId="77777777" w:rsidR="00D33678" w:rsidRDefault="00000000">
            <w:r>
              <w:rPr>
                <w:b/>
                <w:bCs/>
                <w:color w:val="FFFFFF"/>
                <w:sz w:val="21"/>
                <w:szCs w:val="21"/>
              </w:rPr>
              <w:t>Datenquelle</w:t>
            </w:r>
          </w:p>
        </w:tc>
        <w:tc>
          <w:tcPr>
            <w:tcW w:w="25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51BE3B85" w14:textId="77777777" w:rsidR="00D33678" w:rsidRDefault="00000000">
            <w:r>
              <w:rPr>
                <w:b/>
                <w:bCs/>
                <w:color w:val="FFFFFF"/>
                <w:sz w:val="21"/>
                <w:szCs w:val="21"/>
              </w:rPr>
              <w:t>t CO₂e / Jahr</w:t>
            </w:r>
          </w:p>
        </w:tc>
      </w:tr>
      <w:tr w:rsidR="00D33678" w14:paraId="0388CD1C" w14:textId="77777777">
        <w:tblPrEx>
          <w:tblCellMar>
            <w:top w:w="0" w:type="dxa"/>
            <w:bottom w:w="0" w:type="dxa"/>
          </w:tblCellMar>
        </w:tblPrEx>
        <w:tc>
          <w:tcPr>
            <w:tcW w:w="1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8EA2773" w14:textId="77777777" w:rsidR="00D33678" w:rsidRDefault="00000000">
            <w:r>
              <w:rPr>
                <w:b/>
                <w:bCs/>
                <w:sz w:val="21"/>
                <w:szCs w:val="21"/>
              </w:rPr>
              <w:t>1</w:t>
            </w:r>
          </w:p>
        </w:tc>
        <w:tc>
          <w:tcPr>
            <w:tcW w:w="3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9F8621C" w14:textId="77777777" w:rsidR="00D33678" w:rsidRDefault="00000000">
            <w:r>
              <w:rPr>
                <w:sz w:val="21"/>
                <w:szCs w:val="21"/>
              </w:rPr>
              <w:t>Heizöl / Erdgas / andere Brennstoffe</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8D8A569" w14:textId="77777777" w:rsidR="00D33678" w:rsidRDefault="00000000">
            <w:r>
              <w:rPr>
                <w:i/>
                <w:iCs/>
                <w:color w:val="7A6A55"/>
                <w:sz w:val="21"/>
                <w:szCs w:val="21"/>
              </w:rPr>
              <w:t>Zählerablesung</w:t>
            </w:r>
          </w:p>
        </w:tc>
        <w:tc>
          <w:tcPr>
            <w:tcW w:w="2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0A4E93CD" w14:textId="77777777" w:rsidR="00D33678" w:rsidRDefault="00D33678"/>
        </w:tc>
      </w:tr>
      <w:tr w:rsidR="00D33678" w14:paraId="22F35145" w14:textId="77777777">
        <w:tblPrEx>
          <w:tblCellMar>
            <w:top w:w="0" w:type="dxa"/>
            <w:bottom w:w="0" w:type="dxa"/>
          </w:tblCellMar>
        </w:tblPrEx>
        <w:tc>
          <w:tcPr>
            <w:tcW w:w="1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231500A" w14:textId="77777777" w:rsidR="00D33678" w:rsidRDefault="00000000">
            <w:r>
              <w:rPr>
                <w:b/>
                <w:bCs/>
                <w:sz w:val="21"/>
                <w:szCs w:val="21"/>
              </w:rPr>
              <w:t>1</w:t>
            </w:r>
          </w:p>
        </w:tc>
        <w:tc>
          <w:tcPr>
            <w:tcW w:w="3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8D85132" w14:textId="77777777" w:rsidR="00D33678" w:rsidRDefault="00000000">
            <w:r>
              <w:rPr>
                <w:sz w:val="21"/>
                <w:szCs w:val="21"/>
              </w:rPr>
              <w:t>Kältemittelverluste</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DAFC289" w14:textId="77777777" w:rsidR="00D33678" w:rsidRDefault="00000000">
            <w:r>
              <w:rPr>
                <w:i/>
                <w:iCs/>
                <w:color w:val="7A6A55"/>
                <w:sz w:val="21"/>
                <w:szCs w:val="21"/>
              </w:rPr>
              <w:t>Wartungsprotokoll</w:t>
            </w:r>
          </w:p>
        </w:tc>
        <w:tc>
          <w:tcPr>
            <w:tcW w:w="2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2AC6AD4E" w14:textId="77777777" w:rsidR="00D33678" w:rsidRDefault="00D33678"/>
        </w:tc>
      </w:tr>
      <w:tr w:rsidR="00D33678" w14:paraId="102E2EF6" w14:textId="77777777">
        <w:tblPrEx>
          <w:tblCellMar>
            <w:top w:w="0" w:type="dxa"/>
            <w:bottom w:w="0" w:type="dxa"/>
          </w:tblCellMar>
        </w:tblPrEx>
        <w:tc>
          <w:tcPr>
            <w:tcW w:w="1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B8185ED" w14:textId="77777777" w:rsidR="00D33678" w:rsidRDefault="00000000">
            <w:r>
              <w:rPr>
                <w:b/>
                <w:bCs/>
                <w:sz w:val="21"/>
                <w:szCs w:val="21"/>
              </w:rPr>
              <w:t>1</w:t>
            </w:r>
          </w:p>
        </w:tc>
        <w:tc>
          <w:tcPr>
            <w:tcW w:w="3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2FBC856" w14:textId="77777777" w:rsidR="00D33678" w:rsidRDefault="00000000">
            <w:r>
              <w:rPr>
                <w:sz w:val="21"/>
                <w:szCs w:val="21"/>
              </w:rPr>
              <w:t>Fahrzeugflotte</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041732A" w14:textId="77777777" w:rsidR="00D33678" w:rsidRDefault="00000000">
            <w:r>
              <w:rPr>
                <w:i/>
                <w:iCs/>
                <w:color w:val="7A6A55"/>
                <w:sz w:val="21"/>
                <w:szCs w:val="21"/>
              </w:rPr>
              <w:t>Tankbelege</w:t>
            </w:r>
          </w:p>
        </w:tc>
        <w:tc>
          <w:tcPr>
            <w:tcW w:w="2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19EC0FFD" w14:textId="77777777" w:rsidR="00D33678" w:rsidRDefault="00D33678"/>
        </w:tc>
      </w:tr>
      <w:tr w:rsidR="00D33678" w14:paraId="554E767C" w14:textId="77777777">
        <w:tblPrEx>
          <w:tblCellMar>
            <w:top w:w="0" w:type="dxa"/>
            <w:bottom w:w="0" w:type="dxa"/>
          </w:tblCellMar>
        </w:tblPrEx>
        <w:tc>
          <w:tcPr>
            <w:tcW w:w="1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6CC42DF" w14:textId="77777777" w:rsidR="00D33678" w:rsidRDefault="00000000">
            <w:r>
              <w:rPr>
                <w:b/>
                <w:bCs/>
                <w:sz w:val="21"/>
                <w:szCs w:val="21"/>
              </w:rPr>
              <w:t>2 loc</w:t>
            </w:r>
          </w:p>
        </w:tc>
        <w:tc>
          <w:tcPr>
            <w:tcW w:w="3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52E44FE" w14:textId="77777777" w:rsidR="00D33678" w:rsidRDefault="00000000">
            <w:r>
              <w:rPr>
                <w:sz w:val="21"/>
                <w:szCs w:val="21"/>
              </w:rPr>
              <w:t>Netzstrom (location-based)</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B19B844" w14:textId="77777777" w:rsidR="00D33678" w:rsidRDefault="00000000">
            <w:r>
              <w:rPr>
                <w:i/>
                <w:iCs/>
                <w:color w:val="7A6A55"/>
                <w:sz w:val="21"/>
                <w:szCs w:val="21"/>
              </w:rPr>
              <w:t>Zählerablesung × Landesmix</w:t>
            </w:r>
          </w:p>
        </w:tc>
        <w:tc>
          <w:tcPr>
            <w:tcW w:w="2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74BEC312" w14:textId="77777777" w:rsidR="00D33678" w:rsidRDefault="00D33678"/>
        </w:tc>
      </w:tr>
      <w:tr w:rsidR="00D33678" w14:paraId="3FF585B0" w14:textId="77777777">
        <w:tblPrEx>
          <w:tblCellMar>
            <w:top w:w="0" w:type="dxa"/>
            <w:bottom w:w="0" w:type="dxa"/>
          </w:tblCellMar>
        </w:tblPrEx>
        <w:tc>
          <w:tcPr>
            <w:tcW w:w="1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E245115" w14:textId="77777777" w:rsidR="00D33678" w:rsidRDefault="00000000">
            <w:r>
              <w:rPr>
                <w:b/>
                <w:bCs/>
                <w:sz w:val="21"/>
                <w:szCs w:val="21"/>
              </w:rPr>
              <w:t>2 mkt</w:t>
            </w:r>
          </w:p>
        </w:tc>
        <w:tc>
          <w:tcPr>
            <w:tcW w:w="3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2476AE6" w14:textId="77777777" w:rsidR="00D33678" w:rsidRDefault="00000000">
            <w:r>
              <w:rPr>
                <w:sz w:val="21"/>
                <w:szCs w:val="21"/>
              </w:rPr>
              <w:t>Netzstrom (market-based)</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8DCABFB" w14:textId="77777777" w:rsidR="00D33678" w:rsidRDefault="00000000">
            <w:r>
              <w:rPr>
                <w:i/>
                <w:iCs/>
                <w:color w:val="7A6A55"/>
                <w:sz w:val="21"/>
                <w:szCs w:val="21"/>
              </w:rPr>
              <w:t>Zählerablesung × Vertragsprodukt</w:t>
            </w:r>
          </w:p>
        </w:tc>
        <w:tc>
          <w:tcPr>
            <w:tcW w:w="2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24BE9F64" w14:textId="77777777" w:rsidR="00D33678" w:rsidRDefault="00D33678"/>
        </w:tc>
      </w:tr>
      <w:tr w:rsidR="00D33678" w14:paraId="6E946223" w14:textId="77777777">
        <w:tblPrEx>
          <w:tblCellMar>
            <w:top w:w="0" w:type="dxa"/>
            <w:bottom w:w="0" w:type="dxa"/>
          </w:tblCellMar>
        </w:tblPrEx>
        <w:tc>
          <w:tcPr>
            <w:tcW w:w="1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91679EB" w14:textId="77777777" w:rsidR="00D33678" w:rsidRDefault="00000000">
            <w:r>
              <w:rPr>
                <w:b/>
                <w:bCs/>
                <w:sz w:val="21"/>
                <w:szCs w:val="21"/>
              </w:rPr>
              <w:t>2</w:t>
            </w:r>
          </w:p>
        </w:tc>
        <w:tc>
          <w:tcPr>
            <w:tcW w:w="3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E50030F" w14:textId="77777777" w:rsidR="00D33678" w:rsidRDefault="00000000">
            <w:r>
              <w:rPr>
                <w:sz w:val="21"/>
                <w:szCs w:val="21"/>
              </w:rPr>
              <w:t>Fernwärme</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E925CB8" w14:textId="77777777" w:rsidR="00D33678" w:rsidRDefault="00000000">
            <w:r>
              <w:rPr>
                <w:i/>
                <w:iCs/>
                <w:color w:val="7A6A55"/>
                <w:sz w:val="21"/>
                <w:szCs w:val="21"/>
              </w:rPr>
              <w:t>Zählerablesung × Versorgerfaktor</w:t>
            </w:r>
          </w:p>
        </w:tc>
        <w:tc>
          <w:tcPr>
            <w:tcW w:w="2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2FFBEBDE" w14:textId="77777777" w:rsidR="00D33678" w:rsidRDefault="00D33678"/>
        </w:tc>
      </w:tr>
      <w:tr w:rsidR="00D33678" w14:paraId="1A70D915" w14:textId="77777777">
        <w:tblPrEx>
          <w:tblCellMar>
            <w:top w:w="0" w:type="dxa"/>
            <w:bottom w:w="0" w:type="dxa"/>
          </w:tblCellMar>
        </w:tblPrEx>
        <w:tc>
          <w:tcPr>
            <w:tcW w:w="1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D85C549" w14:textId="77777777" w:rsidR="00D33678" w:rsidRDefault="00000000">
            <w:r>
              <w:rPr>
                <w:b/>
                <w:bCs/>
                <w:sz w:val="21"/>
                <w:szCs w:val="21"/>
              </w:rPr>
              <w:t>3.1</w:t>
            </w:r>
          </w:p>
        </w:tc>
        <w:tc>
          <w:tcPr>
            <w:tcW w:w="3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FEE6301" w14:textId="77777777" w:rsidR="00D33678" w:rsidRDefault="00000000">
            <w:r>
              <w:rPr>
                <w:sz w:val="21"/>
                <w:szCs w:val="21"/>
              </w:rPr>
              <w:t>Einkauf Waren und Dienstleistungen</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758DCE8" w14:textId="77777777" w:rsidR="00D33678" w:rsidRDefault="00000000">
            <w:r>
              <w:rPr>
                <w:i/>
                <w:iCs/>
                <w:color w:val="7A6A55"/>
                <w:sz w:val="21"/>
                <w:szCs w:val="21"/>
              </w:rPr>
              <w:t>Doku 2.11 — spend-/activity-based</w:t>
            </w:r>
          </w:p>
        </w:tc>
        <w:tc>
          <w:tcPr>
            <w:tcW w:w="2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471F64F5" w14:textId="77777777" w:rsidR="00D33678" w:rsidRDefault="00D33678"/>
        </w:tc>
      </w:tr>
      <w:tr w:rsidR="00D33678" w14:paraId="3C0768AA" w14:textId="77777777">
        <w:tblPrEx>
          <w:tblCellMar>
            <w:top w:w="0" w:type="dxa"/>
            <w:bottom w:w="0" w:type="dxa"/>
          </w:tblCellMar>
        </w:tblPrEx>
        <w:tc>
          <w:tcPr>
            <w:tcW w:w="1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644B871" w14:textId="77777777" w:rsidR="00D33678" w:rsidRDefault="00000000">
            <w:r>
              <w:rPr>
                <w:b/>
                <w:bCs/>
                <w:sz w:val="21"/>
                <w:szCs w:val="21"/>
              </w:rPr>
              <w:t>3.4</w:t>
            </w:r>
          </w:p>
        </w:tc>
        <w:tc>
          <w:tcPr>
            <w:tcW w:w="3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564C1A2" w14:textId="77777777" w:rsidR="00D33678" w:rsidRDefault="00000000">
            <w:r>
              <w:rPr>
                <w:sz w:val="21"/>
                <w:szCs w:val="21"/>
              </w:rPr>
              <w:t>Vorgelagerter Transport</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56543FC" w14:textId="77777777" w:rsidR="00D33678" w:rsidRDefault="00000000">
            <w:r>
              <w:rPr>
                <w:i/>
                <w:iCs/>
                <w:color w:val="7A6A55"/>
                <w:sz w:val="21"/>
                <w:szCs w:val="21"/>
              </w:rPr>
              <w:t>Lieferantenauskunft</w:t>
            </w:r>
          </w:p>
        </w:tc>
        <w:tc>
          <w:tcPr>
            <w:tcW w:w="2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58EDF61C" w14:textId="77777777" w:rsidR="00D33678" w:rsidRDefault="00D33678"/>
        </w:tc>
      </w:tr>
      <w:tr w:rsidR="00D33678" w14:paraId="1F5F11C4" w14:textId="77777777">
        <w:tblPrEx>
          <w:tblCellMar>
            <w:top w:w="0" w:type="dxa"/>
            <w:bottom w:w="0" w:type="dxa"/>
          </w:tblCellMar>
        </w:tblPrEx>
        <w:tc>
          <w:tcPr>
            <w:tcW w:w="1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3470918" w14:textId="77777777" w:rsidR="00D33678" w:rsidRDefault="00000000">
            <w:r>
              <w:rPr>
                <w:b/>
                <w:bCs/>
                <w:sz w:val="21"/>
                <w:szCs w:val="21"/>
              </w:rPr>
              <w:t>3.5</w:t>
            </w:r>
          </w:p>
        </w:tc>
        <w:tc>
          <w:tcPr>
            <w:tcW w:w="3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7348E32" w14:textId="77777777" w:rsidR="00D33678" w:rsidRDefault="00000000">
            <w:r>
              <w:rPr>
                <w:sz w:val="21"/>
                <w:szCs w:val="21"/>
              </w:rPr>
              <w:t>Abfallentsorgung</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6400204" w14:textId="77777777" w:rsidR="00D33678" w:rsidRDefault="00000000">
            <w:r>
              <w:rPr>
                <w:i/>
                <w:iCs/>
                <w:color w:val="7A6A55"/>
                <w:sz w:val="21"/>
                <w:szCs w:val="21"/>
              </w:rPr>
              <w:t>Doku 2.10</w:t>
            </w:r>
          </w:p>
        </w:tc>
        <w:tc>
          <w:tcPr>
            <w:tcW w:w="2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309A0282" w14:textId="77777777" w:rsidR="00D33678" w:rsidRDefault="00D33678"/>
        </w:tc>
      </w:tr>
      <w:tr w:rsidR="00D33678" w14:paraId="745CCC5F" w14:textId="77777777">
        <w:tblPrEx>
          <w:tblCellMar>
            <w:top w:w="0" w:type="dxa"/>
            <w:bottom w:w="0" w:type="dxa"/>
          </w:tblCellMar>
        </w:tblPrEx>
        <w:tc>
          <w:tcPr>
            <w:tcW w:w="1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D394C32" w14:textId="77777777" w:rsidR="00D33678" w:rsidRDefault="00000000">
            <w:r>
              <w:rPr>
                <w:b/>
                <w:bCs/>
                <w:sz w:val="21"/>
                <w:szCs w:val="21"/>
              </w:rPr>
              <w:t>3.6</w:t>
            </w:r>
          </w:p>
        </w:tc>
        <w:tc>
          <w:tcPr>
            <w:tcW w:w="3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A2CD249" w14:textId="77777777" w:rsidR="00D33678" w:rsidRDefault="00000000">
            <w:r>
              <w:rPr>
                <w:sz w:val="21"/>
                <w:szCs w:val="21"/>
              </w:rPr>
              <w:t>Geschäftsreisen</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48C163B" w14:textId="77777777" w:rsidR="00D33678" w:rsidRDefault="00000000">
            <w:r>
              <w:rPr>
                <w:i/>
                <w:iCs/>
                <w:color w:val="7A6A55"/>
                <w:sz w:val="21"/>
                <w:szCs w:val="21"/>
              </w:rPr>
              <w:t>Reisekostenabrechnungen</w:t>
            </w:r>
          </w:p>
        </w:tc>
        <w:tc>
          <w:tcPr>
            <w:tcW w:w="2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6D3DBBDC" w14:textId="77777777" w:rsidR="00D33678" w:rsidRDefault="00D33678"/>
        </w:tc>
      </w:tr>
      <w:tr w:rsidR="00D33678" w14:paraId="22CC1F0C" w14:textId="77777777">
        <w:tblPrEx>
          <w:tblCellMar>
            <w:top w:w="0" w:type="dxa"/>
            <w:bottom w:w="0" w:type="dxa"/>
          </w:tblCellMar>
        </w:tblPrEx>
        <w:tc>
          <w:tcPr>
            <w:tcW w:w="1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719569E" w14:textId="77777777" w:rsidR="00D33678" w:rsidRDefault="00000000">
            <w:r>
              <w:rPr>
                <w:b/>
                <w:bCs/>
                <w:sz w:val="21"/>
                <w:szCs w:val="21"/>
              </w:rPr>
              <w:lastRenderedPageBreak/>
              <w:t>3.7</w:t>
            </w:r>
          </w:p>
        </w:tc>
        <w:tc>
          <w:tcPr>
            <w:tcW w:w="3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21CB9DA" w14:textId="77777777" w:rsidR="00D33678" w:rsidRDefault="00000000">
            <w:r>
              <w:rPr>
                <w:sz w:val="21"/>
                <w:szCs w:val="21"/>
              </w:rPr>
              <w:t>Pendlerverkehr</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3129A7D" w14:textId="77777777" w:rsidR="00D33678" w:rsidRDefault="00000000">
            <w:r>
              <w:rPr>
                <w:i/>
                <w:iCs/>
                <w:color w:val="7A6A55"/>
                <w:sz w:val="21"/>
                <w:szCs w:val="21"/>
              </w:rPr>
              <w:t>Mitarbeitendenbefragung</w:t>
            </w:r>
          </w:p>
        </w:tc>
        <w:tc>
          <w:tcPr>
            <w:tcW w:w="2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2BBD9364" w14:textId="77777777" w:rsidR="00D33678" w:rsidRDefault="00D33678"/>
        </w:tc>
      </w:tr>
      <w:tr w:rsidR="00D33678" w14:paraId="5F01196C" w14:textId="77777777">
        <w:tblPrEx>
          <w:tblCellMar>
            <w:top w:w="0" w:type="dxa"/>
            <w:bottom w:w="0" w:type="dxa"/>
          </w:tblCellMar>
        </w:tblPrEx>
        <w:tc>
          <w:tcPr>
            <w:tcW w:w="1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BCFE049" w14:textId="77777777" w:rsidR="00D33678" w:rsidRDefault="00000000">
            <w:r>
              <w:rPr>
                <w:b/>
                <w:bCs/>
                <w:sz w:val="21"/>
                <w:szCs w:val="21"/>
              </w:rPr>
              <w:t>3.11</w:t>
            </w:r>
          </w:p>
        </w:tc>
        <w:tc>
          <w:tcPr>
            <w:tcW w:w="3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0DC0A97" w14:textId="77777777" w:rsidR="00D33678" w:rsidRDefault="00000000">
            <w:r>
              <w:rPr>
                <w:sz w:val="21"/>
                <w:szCs w:val="21"/>
              </w:rPr>
              <w:t>Gäste-Anreise</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48F13ED" w14:textId="77777777" w:rsidR="00D33678" w:rsidRDefault="00000000">
            <w:r>
              <w:rPr>
                <w:i/>
                <w:iCs/>
                <w:color w:val="7A6A55"/>
                <w:sz w:val="21"/>
                <w:szCs w:val="21"/>
              </w:rPr>
              <w:t>Check-in-Befragung</w:t>
            </w:r>
          </w:p>
        </w:tc>
        <w:tc>
          <w:tcPr>
            <w:tcW w:w="2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0FFC5978" w14:textId="77777777" w:rsidR="00D33678" w:rsidRDefault="00D33678"/>
        </w:tc>
      </w:tr>
      <w:tr w:rsidR="00D33678" w14:paraId="005E6E02" w14:textId="77777777">
        <w:tblPrEx>
          <w:tblCellMar>
            <w:top w:w="0" w:type="dxa"/>
            <w:bottom w:w="0" w:type="dxa"/>
          </w:tblCellMar>
        </w:tblPrEx>
        <w:tc>
          <w:tcPr>
            <w:tcW w:w="1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839335A" w14:textId="77777777" w:rsidR="00D33678" w:rsidRDefault="00D33678"/>
        </w:tc>
        <w:tc>
          <w:tcPr>
            <w:tcW w:w="3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573EBD8" w14:textId="77777777" w:rsidR="00D33678" w:rsidRDefault="00000000">
            <w:r>
              <w:rPr>
                <w:sz w:val="21"/>
                <w:szCs w:val="21"/>
              </w:rPr>
              <w:t>Summe Scope 1</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B2BA9BD" w14:textId="77777777" w:rsidR="00D33678" w:rsidRDefault="00D33678"/>
        </w:tc>
        <w:tc>
          <w:tcPr>
            <w:tcW w:w="2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351BA38F" w14:textId="77777777" w:rsidR="00D33678" w:rsidRDefault="00D33678"/>
        </w:tc>
      </w:tr>
      <w:tr w:rsidR="00D33678" w14:paraId="6C948DFA" w14:textId="77777777">
        <w:tblPrEx>
          <w:tblCellMar>
            <w:top w:w="0" w:type="dxa"/>
            <w:bottom w:w="0" w:type="dxa"/>
          </w:tblCellMar>
        </w:tblPrEx>
        <w:tc>
          <w:tcPr>
            <w:tcW w:w="1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1AEFA06" w14:textId="77777777" w:rsidR="00D33678" w:rsidRDefault="00D33678"/>
        </w:tc>
        <w:tc>
          <w:tcPr>
            <w:tcW w:w="3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0BA93F7" w14:textId="77777777" w:rsidR="00D33678" w:rsidRDefault="00000000">
            <w:r>
              <w:rPr>
                <w:sz w:val="21"/>
                <w:szCs w:val="21"/>
              </w:rPr>
              <w:t>Summe Scope 2 (loc-based)</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0CB6683" w14:textId="77777777" w:rsidR="00D33678" w:rsidRDefault="00D33678"/>
        </w:tc>
        <w:tc>
          <w:tcPr>
            <w:tcW w:w="2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56288C20" w14:textId="77777777" w:rsidR="00D33678" w:rsidRDefault="00D33678"/>
        </w:tc>
      </w:tr>
      <w:tr w:rsidR="00D33678" w14:paraId="65CF29C0" w14:textId="77777777">
        <w:tblPrEx>
          <w:tblCellMar>
            <w:top w:w="0" w:type="dxa"/>
            <w:bottom w:w="0" w:type="dxa"/>
          </w:tblCellMar>
        </w:tblPrEx>
        <w:tc>
          <w:tcPr>
            <w:tcW w:w="1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A178E4F" w14:textId="77777777" w:rsidR="00D33678" w:rsidRDefault="00D33678"/>
        </w:tc>
        <w:tc>
          <w:tcPr>
            <w:tcW w:w="3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4BB2220" w14:textId="77777777" w:rsidR="00D33678" w:rsidRDefault="00000000">
            <w:r>
              <w:rPr>
                <w:sz w:val="21"/>
                <w:szCs w:val="21"/>
              </w:rPr>
              <w:t>Summe Scope 3</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A18ECA8" w14:textId="77777777" w:rsidR="00D33678" w:rsidRDefault="00D33678"/>
        </w:tc>
        <w:tc>
          <w:tcPr>
            <w:tcW w:w="2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593BCA5D" w14:textId="77777777" w:rsidR="00D33678" w:rsidRDefault="00D33678"/>
        </w:tc>
      </w:tr>
      <w:tr w:rsidR="00D33678" w14:paraId="76F44F77" w14:textId="77777777">
        <w:tblPrEx>
          <w:tblCellMar>
            <w:top w:w="0" w:type="dxa"/>
            <w:bottom w:w="0" w:type="dxa"/>
          </w:tblCellMar>
        </w:tblPrEx>
        <w:tc>
          <w:tcPr>
            <w:tcW w:w="1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7818E07" w14:textId="77777777" w:rsidR="00D33678" w:rsidRDefault="00D33678"/>
        </w:tc>
        <w:tc>
          <w:tcPr>
            <w:tcW w:w="3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032963C" w14:textId="77777777" w:rsidR="00D33678" w:rsidRDefault="00000000">
            <w:r>
              <w:rPr>
                <w:sz w:val="21"/>
                <w:szCs w:val="21"/>
              </w:rPr>
              <w:t>Gesamt (loc-based)</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FBA40A8" w14:textId="77777777" w:rsidR="00D33678" w:rsidRDefault="00D33678"/>
        </w:tc>
        <w:tc>
          <w:tcPr>
            <w:tcW w:w="2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374F4419" w14:textId="77777777" w:rsidR="00D33678" w:rsidRDefault="00D33678"/>
        </w:tc>
      </w:tr>
      <w:tr w:rsidR="00D33678" w14:paraId="38015E62" w14:textId="77777777">
        <w:tblPrEx>
          <w:tblCellMar>
            <w:top w:w="0" w:type="dxa"/>
            <w:bottom w:w="0" w:type="dxa"/>
          </w:tblCellMar>
        </w:tblPrEx>
        <w:tc>
          <w:tcPr>
            <w:tcW w:w="1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5998703" w14:textId="77777777" w:rsidR="00D33678" w:rsidRDefault="00D33678"/>
        </w:tc>
        <w:tc>
          <w:tcPr>
            <w:tcW w:w="3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DDD3E74" w14:textId="77777777" w:rsidR="00D33678" w:rsidRDefault="00000000">
            <w:r>
              <w:rPr>
                <w:sz w:val="21"/>
                <w:szCs w:val="21"/>
              </w:rPr>
              <w:t>Gesamt (mkt-based)</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BB1C31A" w14:textId="77777777" w:rsidR="00D33678" w:rsidRDefault="00D33678"/>
        </w:tc>
        <w:tc>
          <w:tcPr>
            <w:tcW w:w="2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1D96A9EB" w14:textId="77777777" w:rsidR="00D33678" w:rsidRDefault="00D33678"/>
        </w:tc>
      </w:tr>
      <w:tr w:rsidR="00D33678" w14:paraId="6932F0D2" w14:textId="77777777">
        <w:tblPrEx>
          <w:tblCellMar>
            <w:top w:w="0" w:type="dxa"/>
            <w:bottom w:w="0" w:type="dxa"/>
          </w:tblCellMar>
        </w:tblPrEx>
        <w:tc>
          <w:tcPr>
            <w:tcW w:w="1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78EB06B" w14:textId="77777777" w:rsidR="00D33678" w:rsidRDefault="00D33678"/>
        </w:tc>
        <w:tc>
          <w:tcPr>
            <w:tcW w:w="3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812B20B" w14:textId="77777777" w:rsidR="00D33678" w:rsidRDefault="00000000">
            <w:r>
              <w:rPr>
                <w:sz w:val="21"/>
                <w:szCs w:val="21"/>
              </w:rPr>
              <w:t>je Gästenacht (kg CO₂e/GN)</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0451A2C" w14:textId="77777777" w:rsidR="00D33678" w:rsidRDefault="00D33678"/>
        </w:tc>
        <w:tc>
          <w:tcPr>
            <w:tcW w:w="2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260A0372" w14:textId="77777777" w:rsidR="00D33678" w:rsidRDefault="00D33678"/>
        </w:tc>
      </w:tr>
    </w:tbl>
    <w:p w14:paraId="624DA245" w14:textId="77777777" w:rsidR="00D33678" w:rsidRDefault="00000000">
      <w:pPr>
        <w:keepNext/>
        <w:spacing w:before="220" w:after="100"/>
      </w:pPr>
      <w:r>
        <w:rPr>
          <w:rFonts w:ascii="Aptos Display" w:eastAsia="Aptos Display" w:hAnsi="Aptos Display" w:cs="Aptos Display"/>
          <w:b/>
          <w:bCs/>
          <w:color w:val="8C5A2B"/>
          <w:sz w:val="24"/>
          <w:szCs w:val="24"/>
        </w:rPr>
        <w:t>2.2 Scope 2 Dual-Reporting-Kalkulator</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3000"/>
        <w:gridCol w:w="3500"/>
      </w:tblGrid>
      <w:tr w:rsidR="00D33678" w14:paraId="191FBBF1" w14:textId="77777777">
        <w:tblPrEx>
          <w:tblCellMar>
            <w:top w:w="0" w:type="dxa"/>
            <w:bottom w:w="0" w:type="dxa"/>
          </w:tblCellMar>
        </w:tblPrEx>
        <w:trPr>
          <w:tblHeader/>
        </w:trPr>
        <w:tc>
          <w:tcPr>
            <w:tcW w:w="30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5757262E" w14:textId="77777777" w:rsidR="00D33678" w:rsidRDefault="00000000">
            <w:r>
              <w:rPr>
                <w:b/>
                <w:bCs/>
                <w:color w:val="FFFFFF"/>
                <w:sz w:val="21"/>
                <w:szCs w:val="21"/>
              </w:rPr>
              <w:t>Element</w:t>
            </w:r>
          </w:p>
        </w:tc>
        <w:tc>
          <w:tcPr>
            <w:tcW w:w="30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456088E1" w14:textId="77777777" w:rsidR="00D33678" w:rsidRDefault="00000000">
            <w:r>
              <w:rPr>
                <w:b/>
                <w:bCs/>
                <w:color w:val="FFFFFF"/>
                <w:sz w:val="21"/>
                <w:szCs w:val="21"/>
              </w:rPr>
              <w:t>Location-based</w:t>
            </w:r>
          </w:p>
        </w:tc>
        <w:tc>
          <w:tcPr>
            <w:tcW w:w="35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236FF53C" w14:textId="77777777" w:rsidR="00D33678" w:rsidRDefault="00000000">
            <w:r>
              <w:rPr>
                <w:b/>
                <w:bCs/>
                <w:color w:val="FFFFFF"/>
                <w:sz w:val="21"/>
                <w:szCs w:val="21"/>
              </w:rPr>
              <w:t>Market-based</w:t>
            </w:r>
          </w:p>
        </w:tc>
      </w:tr>
      <w:tr w:rsidR="00D33678" w14:paraId="36C14A30" w14:textId="77777777">
        <w:tblPrEx>
          <w:tblCellMar>
            <w:top w:w="0" w:type="dxa"/>
            <w:bottom w:w="0" w:type="dxa"/>
          </w:tblCellMar>
        </w:tblPrEx>
        <w:tc>
          <w:tcPr>
            <w:tcW w:w="3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179C86A" w14:textId="77777777" w:rsidR="00D33678" w:rsidRDefault="00000000">
            <w:r>
              <w:rPr>
                <w:b/>
                <w:bCs/>
                <w:sz w:val="21"/>
                <w:szCs w:val="21"/>
              </w:rPr>
              <w:t>Stromverbrauch (kWh/Jahr)</w:t>
            </w:r>
          </w:p>
        </w:tc>
        <w:tc>
          <w:tcPr>
            <w:tcW w:w="30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680A8FBA" w14:textId="77777777" w:rsidR="00D33678" w:rsidRDefault="00D33678"/>
        </w:tc>
        <w:tc>
          <w:tcPr>
            <w:tcW w:w="3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7838D145" w14:textId="77777777" w:rsidR="00D33678" w:rsidRDefault="00D33678"/>
        </w:tc>
      </w:tr>
      <w:tr w:rsidR="00D33678" w14:paraId="4BEFE496" w14:textId="77777777">
        <w:tblPrEx>
          <w:tblCellMar>
            <w:top w:w="0" w:type="dxa"/>
            <w:bottom w:w="0" w:type="dxa"/>
          </w:tblCellMar>
        </w:tblPrEx>
        <w:tc>
          <w:tcPr>
            <w:tcW w:w="3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047F2AC" w14:textId="77777777" w:rsidR="00D33678" w:rsidRDefault="00000000">
            <w:r>
              <w:rPr>
                <w:b/>
                <w:bCs/>
                <w:sz w:val="21"/>
                <w:szCs w:val="21"/>
              </w:rPr>
              <w:t>Emissionsfaktor (kg CO₂e/kWh)</w:t>
            </w:r>
          </w:p>
        </w:tc>
        <w:tc>
          <w:tcPr>
            <w:tcW w:w="30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53358527" w14:textId="77777777" w:rsidR="00D33678" w:rsidRDefault="00000000">
            <w:r>
              <w:rPr>
                <w:sz w:val="21"/>
                <w:szCs w:val="21"/>
              </w:rPr>
              <w:t>Landesmix laut UBA/E-Control/BFE</w:t>
            </w:r>
          </w:p>
        </w:tc>
        <w:tc>
          <w:tcPr>
            <w:tcW w:w="3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47420CBF" w14:textId="77777777" w:rsidR="00D33678" w:rsidRDefault="00000000">
            <w:r>
              <w:rPr>
                <w:sz w:val="21"/>
                <w:szCs w:val="21"/>
              </w:rPr>
              <w:t>Vertragsprodukt oder Residualmix</w:t>
            </w:r>
          </w:p>
        </w:tc>
      </w:tr>
      <w:tr w:rsidR="00D33678" w14:paraId="20F82FB2" w14:textId="77777777">
        <w:tblPrEx>
          <w:tblCellMar>
            <w:top w:w="0" w:type="dxa"/>
            <w:bottom w:w="0" w:type="dxa"/>
          </w:tblCellMar>
        </w:tblPrEx>
        <w:tc>
          <w:tcPr>
            <w:tcW w:w="3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D21293B" w14:textId="77777777" w:rsidR="00D33678" w:rsidRDefault="00000000">
            <w:r>
              <w:rPr>
                <w:b/>
                <w:bCs/>
                <w:sz w:val="21"/>
                <w:szCs w:val="21"/>
              </w:rPr>
              <w:t>Emissionen (t CO₂e/Jahr)</w:t>
            </w:r>
          </w:p>
        </w:tc>
        <w:tc>
          <w:tcPr>
            <w:tcW w:w="30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0C379501" w14:textId="77777777" w:rsidR="00D33678" w:rsidRDefault="00D33678"/>
        </w:tc>
        <w:tc>
          <w:tcPr>
            <w:tcW w:w="3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4B5BEF4D" w14:textId="77777777" w:rsidR="00D33678" w:rsidRDefault="00D33678"/>
        </w:tc>
      </w:tr>
      <w:tr w:rsidR="00D33678" w14:paraId="355C9233" w14:textId="77777777">
        <w:tblPrEx>
          <w:tblCellMar>
            <w:top w:w="0" w:type="dxa"/>
            <w:bottom w:w="0" w:type="dxa"/>
          </w:tblCellMar>
        </w:tblPrEx>
        <w:tc>
          <w:tcPr>
            <w:tcW w:w="3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C4A8785" w14:textId="77777777" w:rsidR="00D33678" w:rsidRDefault="00000000">
            <w:r>
              <w:rPr>
                <w:b/>
                <w:bCs/>
                <w:sz w:val="21"/>
                <w:szCs w:val="21"/>
              </w:rPr>
              <w:t>Fernwärme (kWh/Jahr, falls vorhanden)</w:t>
            </w:r>
          </w:p>
        </w:tc>
        <w:tc>
          <w:tcPr>
            <w:tcW w:w="30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023DDA94" w14:textId="77777777" w:rsidR="00D33678" w:rsidRDefault="00D33678"/>
        </w:tc>
        <w:tc>
          <w:tcPr>
            <w:tcW w:w="3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19F70A8D" w14:textId="77777777" w:rsidR="00D33678" w:rsidRDefault="00D33678"/>
        </w:tc>
      </w:tr>
      <w:tr w:rsidR="00D33678" w14:paraId="518C2A81" w14:textId="77777777">
        <w:tblPrEx>
          <w:tblCellMar>
            <w:top w:w="0" w:type="dxa"/>
            <w:bottom w:w="0" w:type="dxa"/>
          </w:tblCellMar>
        </w:tblPrEx>
        <w:tc>
          <w:tcPr>
            <w:tcW w:w="3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B618A3D" w14:textId="77777777" w:rsidR="00D33678" w:rsidRDefault="00000000">
            <w:r>
              <w:rPr>
                <w:b/>
                <w:bCs/>
                <w:sz w:val="21"/>
                <w:szCs w:val="21"/>
              </w:rPr>
              <w:t>Emissionsfaktor Fernwärme</w:t>
            </w:r>
          </w:p>
        </w:tc>
        <w:tc>
          <w:tcPr>
            <w:tcW w:w="30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28012C97" w14:textId="77777777" w:rsidR="00D33678" w:rsidRDefault="00000000">
            <w:r>
              <w:rPr>
                <w:sz w:val="21"/>
                <w:szCs w:val="21"/>
              </w:rPr>
              <w:t>Versorgerdeklaration</w:t>
            </w:r>
          </w:p>
        </w:tc>
        <w:tc>
          <w:tcPr>
            <w:tcW w:w="3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50185BF2" w14:textId="77777777" w:rsidR="00D33678" w:rsidRDefault="00000000">
            <w:r>
              <w:rPr>
                <w:sz w:val="21"/>
                <w:szCs w:val="21"/>
              </w:rPr>
              <w:t>idem</w:t>
            </w:r>
          </w:p>
        </w:tc>
      </w:tr>
      <w:tr w:rsidR="00D33678" w14:paraId="638D4231" w14:textId="77777777">
        <w:tblPrEx>
          <w:tblCellMar>
            <w:top w:w="0" w:type="dxa"/>
            <w:bottom w:w="0" w:type="dxa"/>
          </w:tblCellMar>
        </w:tblPrEx>
        <w:tc>
          <w:tcPr>
            <w:tcW w:w="3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9477DAB" w14:textId="77777777" w:rsidR="00D33678" w:rsidRDefault="00000000">
            <w:r>
              <w:rPr>
                <w:b/>
                <w:bCs/>
                <w:sz w:val="21"/>
                <w:szCs w:val="21"/>
              </w:rPr>
              <w:t>Emissionen Fernwärme (t CO₂e)</w:t>
            </w:r>
          </w:p>
        </w:tc>
        <w:tc>
          <w:tcPr>
            <w:tcW w:w="30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16ACC4B1" w14:textId="77777777" w:rsidR="00D33678" w:rsidRDefault="00D33678"/>
        </w:tc>
        <w:tc>
          <w:tcPr>
            <w:tcW w:w="3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7D027D49" w14:textId="77777777" w:rsidR="00D33678" w:rsidRDefault="00D33678"/>
        </w:tc>
      </w:tr>
      <w:tr w:rsidR="00D33678" w14:paraId="13782413" w14:textId="77777777">
        <w:tblPrEx>
          <w:tblCellMar>
            <w:top w:w="0" w:type="dxa"/>
            <w:bottom w:w="0" w:type="dxa"/>
          </w:tblCellMar>
        </w:tblPrEx>
        <w:tc>
          <w:tcPr>
            <w:tcW w:w="3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D314890" w14:textId="77777777" w:rsidR="00D33678" w:rsidRDefault="00000000">
            <w:r>
              <w:rPr>
                <w:b/>
                <w:bCs/>
                <w:sz w:val="21"/>
                <w:szCs w:val="21"/>
              </w:rPr>
              <w:t>Summe Scope 2 (t CO₂e/Jahr)</w:t>
            </w:r>
          </w:p>
        </w:tc>
        <w:tc>
          <w:tcPr>
            <w:tcW w:w="30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26B99255" w14:textId="77777777" w:rsidR="00D33678" w:rsidRDefault="00D33678"/>
        </w:tc>
        <w:tc>
          <w:tcPr>
            <w:tcW w:w="3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382F8E70" w14:textId="77777777" w:rsidR="00D33678" w:rsidRDefault="00D33678"/>
        </w:tc>
      </w:tr>
    </w:tbl>
    <w:p w14:paraId="030CA806" w14:textId="77777777" w:rsidR="00D33678" w:rsidRDefault="00000000">
      <w:pPr>
        <w:keepNext/>
        <w:spacing w:before="220" w:after="100"/>
      </w:pPr>
      <w:r>
        <w:rPr>
          <w:rFonts w:ascii="Aptos Display" w:eastAsia="Aptos Display" w:hAnsi="Aptos Display" w:cs="Aptos Display"/>
          <w:b/>
          <w:bCs/>
          <w:color w:val="8C5A2B"/>
          <w:sz w:val="24"/>
          <w:szCs w:val="24"/>
        </w:rPr>
        <w:t>2.3 Kälteanlagen-Kalkulator (Scope 1)</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1800"/>
        <w:gridCol w:w="1900"/>
        <w:gridCol w:w="1400"/>
        <w:gridCol w:w="2000"/>
      </w:tblGrid>
      <w:tr w:rsidR="00D33678" w14:paraId="578B3FB9" w14:textId="77777777">
        <w:tblPrEx>
          <w:tblCellMar>
            <w:top w:w="0" w:type="dxa"/>
            <w:bottom w:w="0" w:type="dxa"/>
          </w:tblCellMar>
        </w:tblPrEx>
        <w:trPr>
          <w:tblHeader/>
        </w:trPr>
        <w:tc>
          <w:tcPr>
            <w:tcW w:w="24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1796ADB9" w14:textId="77777777" w:rsidR="00D33678" w:rsidRDefault="00000000">
            <w:r>
              <w:rPr>
                <w:b/>
                <w:bCs/>
                <w:color w:val="FFFFFF"/>
                <w:sz w:val="21"/>
                <w:szCs w:val="21"/>
              </w:rPr>
              <w:t>Anlage</w:t>
            </w:r>
          </w:p>
        </w:tc>
        <w:tc>
          <w:tcPr>
            <w:tcW w:w="18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0A9346E3" w14:textId="77777777" w:rsidR="00D33678" w:rsidRDefault="00000000">
            <w:r>
              <w:rPr>
                <w:b/>
                <w:bCs/>
                <w:color w:val="FFFFFF"/>
                <w:sz w:val="21"/>
                <w:szCs w:val="21"/>
              </w:rPr>
              <w:t>Kältemittel</w:t>
            </w:r>
          </w:p>
        </w:tc>
        <w:tc>
          <w:tcPr>
            <w:tcW w:w="19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4F13312E" w14:textId="77777777" w:rsidR="00D33678" w:rsidRDefault="00000000">
            <w:r>
              <w:rPr>
                <w:b/>
                <w:bCs/>
                <w:color w:val="FFFFFF"/>
                <w:sz w:val="21"/>
                <w:szCs w:val="21"/>
              </w:rPr>
              <w:t>Nachfüllmenge (kg/Jahr)</w:t>
            </w:r>
          </w:p>
        </w:tc>
        <w:tc>
          <w:tcPr>
            <w:tcW w:w="14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2E528CD3" w14:textId="77777777" w:rsidR="00D33678" w:rsidRDefault="00000000">
            <w:r>
              <w:rPr>
                <w:b/>
                <w:bCs/>
                <w:color w:val="FFFFFF"/>
                <w:sz w:val="21"/>
                <w:szCs w:val="21"/>
              </w:rPr>
              <w:t>GWP AR6</w:t>
            </w:r>
          </w:p>
        </w:tc>
        <w:tc>
          <w:tcPr>
            <w:tcW w:w="20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2FF14FB2" w14:textId="77777777" w:rsidR="00D33678" w:rsidRDefault="00000000">
            <w:r>
              <w:rPr>
                <w:b/>
                <w:bCs/>
                <w:color w:val="FFFFFF"/>
                <w:sz w:val="21"/>
                <w:szCs w:val="21"/>
              </w:rPr>
              <w:t>t CO₂e / Jahr</w:t>
            </w:r>
          </w:p>
        </w:tc>
      </w:tr>
      <w:tr w:rsidR="00D33678" w14:paraId="6AE3C2A9"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41870CE" w14:textId="77777777" w:rsidR="00D33678" w:rsidRDefault="00000000">
            <w:r>
              <w:rPr>
                <w:b/>
                <w:bCs/>
                <w:sz w:val="21"/>
                <w:szCs w:val="21"/>
              </w:rPr>
              <w:t>Klimaanlage Zentrale</w:t>
            </w:r>
          </w:p>
        </w:tc>
        <w:tc>
          <w:tcPr>
            <w:tcW w:w="18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08AC4516" w14:textId="77777777" w:rsidR="00D33678" w:rsidRDefault="00D33678"/>
        </w:tc>
        <w:tc>
          <w:tcPr>
            <w:tcW w:w="19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53E323F3" w14:textId="77777777" w:rsidR="00D33678" w:rsidRDefault="00D33678"/>
        </w:tc>
        <w:tc>
          <w:tcPr>
            <w:tcW w:w="14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4BE6FBA4" w14:textId="77777777" w:rsidR="00D33678" w:rsidRDefault="00D33678"/>
        </w:tc>
        <w:tc>
          <w:tcPr>
            <w:tcW w:w="20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77509EA9" w14:textId="77777777" w:rsidR="00D33678" w:rsidRDefault="00D33678"/>
        </w:tc>
      </w:tr>
      <w:tr w:rsidR="00D33678" w14:paraId="0B55F62E"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EAFC49B" w14:textId="77777777" w:rsidR="00D33678" w:rsidRDefault="00000000">
            <w:r>
              <w:rPr>
                <w:b/>
                <w:bCs/>
                <w:sz w:val="21"/>
                <w:szCs w:val="21"/>
              </w:rPr>
              <w:t>Kühlraum Küche</w:t>
            </w:r>
          </w:p>
        </w:tc>
        <w:tc>
          <w:tcPr>
            <w:tcW w:w="18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781647D8" w14:textId="77777777" w:rsidR="00D33678" w:rsidRDefault="00D33678"/>
        </w:tc>
        <w:tc>
          <w:tcPr>
            <w:tcW w:w="19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09CF2BFF" w14:textId="77777777" w:rsidR="00D33678" w:rsidRDefault="00D33678"/>
        </w:tc>
        <w:tc>
          <w:tcPr>
            <w:tcW w:w="14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6BD7994B" w14:textId="77777777" w:rsidR="00D33678" w:rsidRDefault="00D33678"/>
        </w:tc>
        <w:tc>
          <w:tcPr>
            <w:tcW w:w="20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4920D346" w14:textId="77777777" w:rsidR="00D33678" w:rsidRDefault="00D33678"/>
        </w:tc>
      </w:tr>
      <w:tr w:rsidR="00D33678" w14:paraId="52352C81"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BD1FCB4" w14:textId="77777777" w:rsidR="00D33678" w:rsidRDefault="00000000">
            <w:r>
              <w:rPr>
                <w:b/>
                <w:bCs/>
                <w:sz w:val="21"/>
                <w:szCs w:val="21"/>
              </w:rPr>
              <w:t>Weinklima</w:t>
            </w:r>
          </w:p>
        </w:tc>
        <w:tc>
          <w:tcPr>
            <w:tcW w:w="18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41D875DC" w14:textId="77777777" w:rsidR="00D33678" w:rsidRDefault="00D33678"/>
        </w:tc>
        <w:tc>
          <w:tcPr>
            <w:tcW w:w="19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282E4520" w14:textId="77777777" w:rsidR="00D33678" w:rsidRDefault="00D33678"/>
        </w:tc>
        <w:tc>
          <w:tcPr>
            <w:tcW w:w="14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121EAC0D" w14:textId="77777777" w:rsidR="00D33678" w:rsidRDefault="00D33678"/>
        </w:tc>
        <w:tc>
          <w:tcPr>
            <w:tcW w:w="20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3DBB36E1" w14:textId="77777777" w:rsidR="00D33678" w:rsidRDefault="00D33678"/>
        </w:tc>
      </w:tr>
      <w:tr w:rsidR="00D33678" w14:paraId="5B3E275D"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CF937BD" w14:textId="77777777" w:rsidR="00D33678" w:rsidRDefault="00000000">
            <w:r>
              <w:rPr>
                <w:b/>
                <w:bCs/>
                <w:sz w:val="21"/>
                <w:szCs w:val="21"/>
              </w:rPr>
              <w:t>Sonstige</w:t>
            </w:r>
          </w:p>
        </w:tc>
        <w:tc>
          <w:tcPr>
            <w:tcW w:w="18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5FDC368F" w14:textId="77777777" w:rsidR="00D33678" w:rsidRDefault="00D33678"/>
        </w:tc>
        <w:tc>
          <w:tcPr>
            <w:tcW w:w="19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1E25F12E" w14:textId="77777777" w:rsidR="00D33678" w:rsidRDefault="00D33678"/>
        </w:tc>
        <w:tc>
          <w:tcPr>
            <w:tcW w:w="14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30A23466" w14:textId="77777777" w:rsidR="00D33678" w:rsidRDefault="00D33678"/>
        </w:tc>
        <w:tc>
          <w:tcPr>
            <w:tcW w:w="20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59C0F9DB" w14:textId="77777777" w:rsidR="00D33678" w:rsidRDefault="00D33678"/>
        </w:tc>
      </w:tr>
      <w:tr w:rsidR="00D33678" w14:paraId="695780F9"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A790EB2" w14:textId="77777777" w:rsidR="00D33678" w:rsidRDefault="00000000">
            <w:r>
              <w:rPr>
                <w:b/>
                <w:bCs/>
                <w:sz w:val="21"/>
                <w:szCs w:val="21"/>
              </w:rPr>
              <w:t>Summe</w:t>
            </w:r>
          </w:p>
        </w:tc>
        <w:tc>
          <w:tcPr>
            <w:tcW w:w="18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1135C2CB" w14:textId="77777777" w:rsidR="00D33678" w:rsidRDefault="00D33678"/>
        </w:tc>
        <w:tc>
          <w:tcPr>
            <w:tcW w:w="19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567EB099" w14:textId="77777777" w:rsidR="00D33678" w:rsidRDefault="00D33678"/>
        </w:tc>
        <w:tc>
          <w:tcPr>
            <w:tcW w:w="14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5549C907" w14:textId="77777777" w:rsidR="00D33678" w:rsidRDefault="00D33678"/>
        </w:tc>
        <w:tc>
          <w:tcPr>
            <w:tcW w:w="20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0AB1FD85" w14:textId="77777777" w:rsidR="00D33678" w:rsidRDefault="00D33678"/>
        </w:tc>
      </w:tr>
    </w:tbl>
    <w:p w14:paraId="5CFBD05C" w14:textId="77777777" w:rsidR="00D33678" w:rsidRDefault="00000000">
      <w:pPr>
        <w:spacing w:after="120" w:line="270" w:lineRule="auto"/>
      </w:pPr>
      <w:r>
        <w:rPr>
          <w:i/>
          <w:iCs/>
          <w:color w:val="7A6A55"/>
          <w:sz w:val="21"/>
          <w:szCs w:val="21"/>
        </w:rPr>
        <w:t>Umsetzung in Excel/LibreOffice: Nachfüllmenge × GWP × 1.000 (Faktor kg → t) = t CO₂e. Die Nachfüllmengen sind aus dem Wartungsprotokoll des zertifizierten Kälteanlagenbauers zu entnehmen.</w:t>
      </w:r>
    </w:p>
    <w:p w14:paraId="43753595" w14:textId="77777777" w:rsidR="00D33678" w:rsidRDefault="00000000">
      <w:pPr>
        <w:keepNext/>
        <w:pBdr>
          <w:bottom w:val="single" w:sz="4" w:space="4" w:color="C9BBA6"/>
        </w:pBdr>
        <w:spacing w:before="300" w:after="120"/>
      </w:pPr>
      <w:r>
        <w:rPr>
          <w:rFonts w:ascii="Aptos Display" w:eastAsia="Aptos Display" w:hAnsi="Aptos Display" w:cs="Aptos Display"/>
          <w:b/>
          <w:bCs/>
          <w:color w:val="8C5A2B"/>
          <w:sz w:val="28"/>
          <w:szCs w:val="28"/>
        </w:rPr>
        <w:t>3. Governance des Umweltdatums</w:t>
      </w:r>
    </w:p>
    <w:p w14:paraId="02957F02" w14:textId="77777777" w:rsidR="00D33678" w:rsidRDefault="00000000">
      <w:pPr>
        <w:spacing w:after="150" w:line="280" w:lineRule="auto"/>
        <w:jc w:val="both"/>
      </w:pPr>
      <w:r>
        <w:t xml:space="preserve">Ein Emissionswert ist nur so viel wert wie das Verfahren, mit dem er entstanden ist. Die Governance des Umweltdatums beschreibt die vier Schritte, die die Nachvollziehbarkeit und die Prüffähigkeit </w:t>
      </w:r>
      <w:r>
        <w:lastRenderedPageBreak/>
        <w:t>sicherstellen — Voraussetzung für ein glaubwürdiges Reporting und für die externe Verifikation nach ISO 14064-3.</w:t>
      </w:r>
    </w:p>
    <w:p w14:paraId="3C361617" w14:textId="77777777" w:rsidR="00D33678" w:rsidRDefault="00000000">
      <w:pPr>
        <w:keepNext/>
        <w:spacing w:before="220" w:after="100"/>
      </w:pPr>
      <w:r>
        <w:rPr>
          <w:rFonts w:ascii="Aptos Display" w:eastAsia="Aptos Display" w:hAnsi="Aptos Display" w:cs="Aptos Display"/>
          <w:b/>
          <w:bCs/>
          <w:color w:val="8C5A2B"/>
          <w:sz w:val="24"/>
          <w:szCs w:val="24"/>
        </w:rPr>
        <w:t>Quaternio der Datengovernance</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91"/>
        <w:gridCol w:w="4514"/>
        <w:gridCol w:w="2895"/>
      </w:tblGrid>
      <w:tr w:rsidR="00D33678" w14:paraId="27AED217" w14:textId="77777777">
        <w:tblPrEx>
          <w:tblCellMar>
            <w:top w:w="0" w:type="dxa"/>
            <w:bottom w:w="0" w:type="dxa"/>
          </w:tblCellMar>
        </w:tblPrEx>
        <w:trPr>
          <w:tblHeader/>
        </w:trPr>
        <w:tc>
          <w:tcPr>
            <w:tcW w:w="22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01FA4A33" w14:textId="77777777" w:rsidR="00D33678" w:rsidRDefault="00000000">
            <w:r>
              <w:rPr>
                <w:b/>
                <w:bCs/>
                <w:color w:val="FFFFFF"/>
                <w:sz w:val="21"/>
                <w:szCs w:val="21"/>
              </w:rPr>
              <w:t>Schritt</w:t>
            </w:r>
          </w:p>
        </w:tc>
        <w:tc>
          <w:tcPr>
            <w:tcW w:w="53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79FD48D6" w14:textId="77777777" w:rsidR="00D33678" w:rsidRDefault="00000000">
            <w:r>
              <w:rPr>
                <w:b/>
                <w:bCs/>
                <w:color w:val="FFFFFF"/>
                <w:sz w:val="21"/>
                <w:szCs w:val="21"/>
              </w:rPr>
              <w:t>Inhalt</w:t>
            </w:r>
          </w:p>
        </w:tc>
        <w:tc>
          <w:tcPr>
            <w:tcW w:w="20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04E0306F" w14:textId="77777777" w:rsidR="00D33678" w:rsidRDefault="00000000">
            <w:r>
              <w:rPr>
                <w:b/>
                <w:bCs/>
                <w:color w:val="FFFFFF"/>
                <w:sz w:val="21"/>
                <w:szCs w:val="21"/>
              </w:rPr>
              <w:t>Verantwortlich</w:t>
            </w:r>
          </w:p>
        </w:tc>
      </w:tr>
      <w:tr w:rsidR="00D33678" w14:paraId="6EC61E72" w14:textId="77777777">
        <w:tblPrEx>
          <w:tblCellMar>
            <w:top w:w="0" w:type="dxa"/>
            <w:bottom w:w="0" w:type="dxa"/>
          </w:tblCellMar>
        </w:tblPrEx>
        <w:tc>
          <w:tcPr>
            <w:tcW w:w="22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8BE85EF" w14:textId="77777777" w:rsidR="00D33678" w:rsidRDefault="00000000">
            <w:r>
              <w:rPr>
                <w:b/>
                <w:bCs/>
                <w:sz w:val="21"/>
                <w:szCs w:val="21"/>
              </w:rPr>
              <w:t>Erhebung</w:t>
            </w:r>
          </w:p>
        </w:tc>
        <w:tc>
          <w:tcPr>
            <w:tcW w:w="5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02509E6" w14:textId="77777777" w:rsidR="00D33678" w:rsidRDefault="00000000">
            <w:r>
              <w:rPr>
                <w:sz w:val="21"/>
                <w:szCs w:val="21"/>
              </w:rPr>
              <w:t>Wer erhebt welches Datum, mit welcher Methode, in welcher Frequenz, mit welchem Beleg. Ableseprotokolle, Rechnungen, Wartungsprotokolle, Umfrageergebnisse.</w:t>
            </w:r>
          </w:p>
        </w:tc>
        <w:tc>
          <w:tcPr>
            <w:tcW w:w="2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7F9A1EE" w14:textId="77777777" w:rsidR="00D33678" w:rsidRDefault="00000000">
            <w:r>
              <w:rPr>
                <w:i/>
                <w:iCs/>
                <w:color w:val="7A6A55"/>
                <w:sz w:val="21"/>
                <w:szCs w:val="21"/>
              </w:rPr>
              <w:t>Fachbereichsverantwortliche</w:t>
            </w:r>
          </w:p>
        </w:tc>
      </w:tr>
      <w:tr w:rsidR="00D33678" w14:paraId="434F05FE" w14:textId="77777777">
        <w:tblPrEx>
          <w:tblCellMar>
            <w:top w:w="0" w:type="dxa"/>
            <w:bottom w:w="0" w:type="dxa"/>
          </w:tblCellMar>
        </w:tblPrEx>
        <w:tc>
          <w:tcPr>
            <w:tcW w:w="22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18AE656" w14:textId="77777777" w:rsidR="00D33678" w:rsidRDefault="00000000">
            <w:r>
              <w:rPr>
                <w:b/>
                <w:bCs/>
                <w:sz w:val="21"/>
                <w:szCs w:val="21"/>
              </w:rPr>
              <w:t>Verifikation</w:t>
            </w:r>
          </w:p>
        </w:tc>
        <w:tc>
          <w:tcPr>
            <w:tcW w:w="5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8B352E1" w14:textId="77777777" w:rsidR="00D33678" w:rsidRDefault="00000000">
            <w:r>
              <w:rPr>
                <w:sz w:val="21"/>
                <w:szCs w:val="21"/>
              </w:rPr>
              <w:t>Kontrolle der Plausibilität (Vorjahresvergleich, Bandbreitenprüfung), Doppelerhebung an Stichproben, Audit-Trail (jede Änderung dokumentiert).</w:t>
            </w:r>
          </w:p>
        </w:tc>
        <w:tc>
          <w:tcPr>
            <w:tcW w:w="2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27F28D9" w14:textId="77777777" w:rsidR="00D33678" w:rsidRDefault="00000000">
            <w:r>
              <w:rPr>
                <w:i/>
                <w:iCs/>
                <w:color w:val="7A6A55"/>
                <w:sz w:val="21"/>
                <w:szCs w:val="21"/>
              </w:rPr>
              <w:t>Nachhaltigkeitsbeauftragte(r)</w:t>
            </w:r>
          </w:p>
        </w:tc>
      </w:tr>
      <w:tr w:rsidR="00D33678" w14:paraId="70AD7D82" w14:textId="77777777">
        <w:tblPrEx>
          <w:tblCellMar>
            <w:top w:w="0" w:type="dxa"/>
            <w:bottom w:w="0" w:type="dxa"/>
          </w:tblCellMar>
        </w:tblPrEx>
        <w:tc>
          <w:tcPr>
            <w:tcW w:w="22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9A5B019" w14:textId="77777777" w:rsidR="00D33678" w:rsidRDefault="00000000">
            <w:r>
              <w:rPr>
                <w:b/>
                <w:bCs/>
                <w:sz w:val="21"/>
                <w:szCs w:val="21"/>
              </w:rPr>
              <w:t>Konsolidierung</w:t>
            </w:r>
          </w:p>
        </w:tc>
        <w:tc>
          <w:tcPr>
            <w:tcW w:w="5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4618C37" w14:textId="77777777" w:rsidR="00D33678" w:rsidRDefault="00000000">
            <w:r>
              <w:rPr>
                <w:sz w:val="21"/>
                <w:szCs w:val="21"/>
              </w:rPr>
              <w:t>Zusammenführung der einzelnen Datenreihen zur Bilanz. Anwendung der aktuellen Emissionsfaktoren. Berechnung nach GHG Protocol.</w:t>
            </w:r>
          </w:p>
        </w:tc>
        <w:tc>
          <w:tcPr>
            <w:tcW w:w="2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D4D11B7" w14:textId="77777777" w:rsidR="00D33678" w:rsidRDefault="00000000">
            <w:r>
              <w:rPr>
                <w:i/>
                <w:iCs/>
                <w:color w:val="7A6A55"/>
                <w:sz w:val="21"/>
                <w:szCs w:val="21"/>
              </w:rPr>
              <w:t>Nachhaltigkeitsbeauftragte(r)</w:t>
            </w:r>
          </w:p>
        </w:tc>
      </w:tr>
      <w:tr w:rsidR="00D33678" w14:paraId="0C94B09D" w14:textId="77777777">
        <w:tblPrEx>
          <w:tblCellMar>
            <w:top w:w="0" w:type="dxa"/>
            <w:bottom w:w="0" w:type="dxa"/>
          </w:tblCellMar>
        </w:tblPrEx>
        <w:tc>
          <w:tcPr>
            <w:tcW w:w="22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AB4D0DF" w14:textId="77777777" w:rsidR="00D33678" w:rsidRDefault="00000000">
            <w:r>
              <w:rPr>
                <w:b/>
                <w:bCs/>
                <w:sz w:val="21"/>
                <w:szCs w:val="21"/>
              </w:rPr>
              <w:t>Kommunikation</w:t>
            </w:r>
          </w:p>
        </w:tc>
        <w:tc>
          <w:tcPr>
            <w:tcW w:w="5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5BDE38A" w14:textId="77777777" w:rsidR="00D33678" w:rsidRDefault="00000000">
            <w:r>
              <w:rPr>
                <w:sz w:val="21"/>
                <w:szCs w:val="21"/>
              </w:rPr>
              <w:t>Interne Freigabe durch die oberste Leitung. Externe Kommunikation nach Prüfung. Wer sieht was, wer gibt was frei.</w:t>
            </w:r>
          </w:p>
        </w:tc>
        <w:tc>
          <w:tcPr>
            <w:tcW w:w="2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0CEE785" w14:textId="77777777" w:rsidR="00D33678" w:rsidRDefault="00000000">
            <w:r>
              <w:rPr>
                <w:i/>
                <w:iCs/>
                <w:color w:val="7A6A55"/>
                <w:sz w:val="21"/>
                <w:szCs w:val="21"/>
              </w:rPr>
              <w:t>Oberste Leitung</w:t>
            </w:r>
          </w:p>
        </w:tc>
      </w:tr>
    </w:tbl>
    <w:p w14:paraId="3F481B9A" w14:textId="77777777" w:rsidR="00D33678" w:rsidRDefault="00000000">
      <w:pPr>
        <w:keepNext/>
        <w:spacing w:before="220" w:after="100"/>
      </w:pPr>
      <w:r>
        <w:rPr>
          <w:rFonts w:ascii="Aptos Display" w:eastAsia="Aptos Display" w:hAnsi="Aptos Display" w:cs="Aptos Display"/>
          <w:b/>
          <w:bCs/>
          <w:color w:val="8C5A2B"/>
          <w:sz w:val="24"/>
          <w:szCs w:val="24"/>
        </w:rPr>
        <w:t>Mindestanforderungen an die Nachweisführung</w:t>
      </w:r>
    </w:p>
    <w:p w14:paraId="4C57AEFF" w14:textId="77777777" w:rsidR="00D33678" w:rsidRDefault="00000000">
      <w:pPr>
        <w:pStyle w:val="Paragrafoelenco"/>
        <w:numPr>
          <w:ilvl w:val="0"/>
          <w:numId w:val="1"/>
        </w:numPr>
        <w:spacing w:after="80" w:line="270" w:lineRule="auto"/>
      </w:pPr>
      <w:r>
        <w:t>Für jeden verwendeten Emissionsfaktor: Quelle, Bezugsjahr, URL bzw. Publikationsangabe. Ohne diese Angaben ist die Bilanz nicht prüffähig.</w:t>
      </w:r>
    </w:p>
    <w:p w14:paraId="5AE1547C" w14:textId="77777777" w:rsidR="00D33678" w:rsidRDefault="00000000">
      <w:pPr>
        <w:pStyle w:val="Paragrafoelenco"/>
        <w:numPr>
          <w:ilvl w:val="0"/>
          <w:numId w:val="1"/>
        </w:numPr>
        <w:spacing w:after="80" w:line="270" w:lineRule="auto"/>
      </w:pPr>
      <w:r>
        <w:t>Für jedes Aktivitätsdatum: Beleg (Rechnung, Zähler, Protokoll, Umfrage) und Verfahren der Erhebung.</w:t>
      </w:r>
    </w:p>
    <w:p w14:paraId="11730FD0" w14:textId="77777777" w:rsidR="00D33678" w:rsidRDefault="00000000">
      <w:pPr>
        <w:pStyle w:val="Paragrafoelenco"/>
        <w:numPr>
          <w:ilvl w:val="0"/>
          <w:numId w:val="1"/>
        </w:numPr>
        <w:spacing w:after="80" w:line="270" w:lineRule="auto"/>
      </w:pPr>
      <w:r>
        <w:t>Für Änderungen an früheren Bilanzen (Restatement): dokumentierte Begründung — der GHG Protocol Corporate Standard verlangt die Erklärung wesentlicher Änderungen.</w:t>
      </w:r>
    </w:p>
    <w:p w14:paraId="06324E39" w14:textId="77777777" w:rsidR="00D33678" w:rsidRDefault="00000000">
      <w:pPr>
        <w:pStyle w:val="Paragrafoelenco"/>
        <w:numPr>
          <w:ilvl w:val="0"/>
          <w:numId w:val="1"/>
        </w:numPr>
        <w:spacing w:after="80" w:line="270" w:lineRule="auto"/>
      </w:pPr>
      <w:r>
        <w:t>Für Ausschlüsse (Kategorien, die nicht berechnet werden): dokumentierte Begründung der Nichtwesentlichkeit.</w:t>
      </w:r>
    </w:p>
    <w:p w14:paraId="52EF81E6" w14:textId="77777777" w:rsidR="00D33678" w:rsidRDefault="00000000">
      <w:pPr>
        <w:pStyle w:val="Paragrafoelenco"/>
        <w:numPr>
          <w:ilvl w:val="0"/>
          <w:numId w:val="1"/>
        </w:numPr>
        <w:spacing w:after="80" w:line="270" w:lineRule="auto"/>
      </w:pPr>
      <w:r>
        <w:t>Für die Konsistenz im Zeitverlauf: dieselbe Methodik über Jahre, mit dokumentierten Wechseln (z. B. Übergang von spend-based auf activity-based).</w:t>
      </w:r>
    </w:p>
    <w:p w14:paraId="4957404D" w14:textId="77777777" w:rsidR="00D33678" w:rsidRDefault="00000000">
      <w:pPr>
        <w:keepNext/>
        <w:spacing w:before="220" w:after="100"/>
      </w:pPr>
      <w:r>
        <w:rPr>
          <w:rFonts w:ascii="Aptos Display" w:eastAsia="Aptos Display" w:hAnsi="Aptos Display" w:cs="Aptos Display"/>
          <w:b/>
          <w:bCs/>
          <w:color w:val="8C5A2B"/>
          <w:sz w:val="24"/>
          <w:szCs w:val="24"/>
        </w:rPr>
        <w:t>Verifikation nach ISO 14064-3</w:t>
      </w:r>
    </w:p>
    <w:p w14:paraId="334AAB75" w14:textId="77777777" w:rsidR="00D33678" w:rsidRDefault="00000000">
      <w:pPr>
        <w:spacing w:after="150" w:line="280" w:lineRule="auto"/>
        <w:jc w:val="both"/>
      </w:pPr>
      <w:r>
        <w:t>Für glaubwürdiges externes Reporting empfiehlt sich die Verifikation nach ISO 14064-3 („Specification with guidance for the verification and validation of greenhouse gas statements“). Die Norm kennt zwei Prüftiefen:</w:t>
      </w:r>
    </w:p>
    <w:p w14:paraId="52A0670B" w14:textId="77777777" w:rsidR="00D33678" w:rsidRDefault="00000000">
      <w:pPr>
        <w:pStyle w:val="Paragrafoelenco"/>
        <w:numPr>
          <w:ilvl w:val="0"/>
          <w:numId w:val="1"/>
        </w:numPr>
        <w:spacing w:after="80" w:line="270" w:lineRule="auto"/>
      </w:pPr>
      <w:r>
        <w:t>Reasonable Assurance (hohe Prüftiefe, Prüfmeinung „angemessene Sicherheit“) — für CSRD-Reporting ab Berichtsjahr 2028 vorgesehen [zu prüfen].</w:t>
      </w:r>
    </w:p>
    <w:p w14:paraId="6E9DEC08" w14:textId="77777777" w:rsidR="00D33678" w:rsidRDefault="00000000">
      <w:pPr>
        <w:pStyle w:val="Paragrafoelenco"/>
        <w:numPr>
          <w:ilvl w:val="0"/>
          <w:numId w:val="1"/>
        </w:numPr>
        <w:spacing w:after="80" w:line="270" w:lineRule="auto"/>
      </w:pPr>
      <w:r>
        <w:t>Limited Assurance (begrenzte Prüftiefe, Prüfmeinung „begrenzte Sicherheit“) — für CSRD-Reporting in der Übergangsphase; verbreiteter Einstiegsstandard.</w:t>
      </w:r>
    </w:p>
    <w:p w14:paraId="3B74E358" w14:textId="77777777" w:rsidR="00D33678" w:rsidRDefault="00000000">
      <w:pPr>
        <w:pStyle w:val="Paragrafoelenco"/>
        <w:numPr>
          <w:ilvl w:val="0"/>
          <w:numId w:val="1"/>
        </w:numPr>
        <w:spacing w:after="80" w:line="270" w:lineRule="auto"/>
      </w:pPr>
      <w:r>
        <w:t>Prüfstellen: akkreditierte Verifizierer bei DAkkS (DE), Akkreditierung Austria (AT), SAS (CH).</w:t>
      </w:r>
    </w:p>
    <w:p w14:paraId="0E428B4D" w14:textId="77777777" w:rsidR="00D33678" w:rsidRDefault="00000000">
      <w:pPr>
        <w:pBdr>
          <w:left w:val="single" w:sz="18" w:space="10" w:color="8C5A2B"/>
        </w:pBdr>
        <w:shd w:val="clear" w:color="auto" w:fill="EFE7DC"/>
        <w:spacing w:before="200" w:after="200"/>
        <w:ind w:left="200" w:right="200"/>
        <w:jc w:val="both"/>
      </w:pPr>
      <w:r>
        <w:rPr>
          <w:b/>
          <w:bCs/>
          <w:color w:val="8C5A2B"/>
        </w:rPr>
        <w:t xml:space="preserve">Grundregel der Datengovernance:  </w:t>
      </w:r>
      <w:r>
        <w:t xml:space="preserve">Konsistenz im Zeitverlauf schlägt Präzision im Einzeljahr. Ein Betrieb, der drei Jahre lang mit denselben Methoden bilanziert, hat einen belastbaren Trend — auch wenn einzelne Zahlen unpräzise sind. Ein Betrieb, der jedes Jahr die Methodik wechselt, hat keinen </w:t>
      </w:r>
      <w:r>
        <w:lastRenderedPageBreak/>
        <w:t>Trend, unabhängig von der Präzision der Einzelwerte. Die 14001:2026 verlangt Konsistenz (9.1) und begründete Änderungen (7.5 · 10.2), nicht Perfektion.</w:t>
      </w:r>
    </w:p>
    <w:p w14:paraId="29E6C4C4" w14:textId="77777777" w:rsidR="00D33678" w:rsidRDefault="00000000">
      <w:pPr>
        <w:keepNext/>
        <w:pBdr>
          <w:bottom w:val="single" w:sz="4" w:space="4" w:color="C9BBA6"/>
        </w:pBdr>
        <w:spacing w:before="300" w:after="120"/>
      </w:pPr>
      <w:r>
        <w:rPr>
          <w:rFonts w:ascii="Aptos Display" w:eastAsia="Aptos Display" w:hAnsi="Aptos Display" w:cs="Aptos Display"/>
          <w:b/>
          <w:bCs/>
          <w:color w:val="8C5A2B"/>
          <w:sz w:val="28"/>
          <w:szCs w:val="28"/>
        </w:rPr>
        <w:t>4. Anschluss an die ISO 14001:2026</w:t>
      </w:r>
    </w:p>
    <w:p w14:paraId="15176B19" w14:textId="77777777" w:rsidR="00D33678" w:rsidRDefault="00000000">
      <w:pPr>
        <w:pStyle w:val="Paragrafoelenco"/>
        <w:numPr>
          <w:ilvl w:val="0"/>
          <w:numId w:val="1"/>
        </w:numPr>
        <w:spacing w:after="80" w:line="270" w:lineRule="auto"/>
      </w:pPr>
      <w:r>
        <w:t>Abschnitt 4.1 (Kontext): das Emissionsprofil ist Teil des externen und internen Kontexts.</w:t>
      </w:r>
    </w:p>
    <w:p w14:paraId="3E745408" w14:textId="77777777" w:rsidR="00D33678" w:rsidRDefault="00000000">
      <w:pPr>
        <w:pStyle w:val="Paragrafoelenco"/>
        <w:numPr>
          <w:ilvl w:val="0"/>
          <w:numId w:val="1"/>
        </w:numPr>
        <w:spacing w:after="80" w:line="270" w:lineRule="auto"/>
      </w:pPr>
      <w:r>
        <w:t>Abschnitt 6.1.2 (Umweltaspekte): die identifizierten Aspekte werden über die Emissionsbilanz quantifiziert.</w:t>
      </w:r>
    </w:p>
    <w:p w14:paraId="0FC8885B" w14:textId="77777777" w:rsidR="00D33678" w:rsidRDefault="00000000">
      <w:pPr>
        <w:pStyle w:val="Paragrafoelenco"/>
        <w:numPr>
          <w:ilvl w:val="0"/>
          <w:numId w:val="1"/>
        </w:numPr>
        <w:spacing w:after="80" w:line="270" w:lineRule="auto"/>
      </w:pPr>
      <w:r>
        <w:t>Abschnitt 6.2 (Umweltziele): die Reduktionsziele bauen auf der Baseline der Emissionsbilanz auf.</w:t>
      </w:r>
    </w:p>
    <w:p w14:paraId="1B23CF8C" w14:textId="77777777" w:rsidR="00D33678" w:rsidRDefault="00000000">
      <w:pPr>
        <w:pStyle w:val="Paragrafoelenco"/>
        <w:numPr>
          <w:ilvl w:val="0"/>
          <w:numId w:val="1"/>
        </w:numPr>
        <w:spacing w:after="80" w:line="270" w:lineRule="auto"/>
      </w:pPr>
      <w:r>
        <w:t>Abschnitt 7.5 (Dokumentierte Information): die Bilanz und die zugrundeliegenden Daten sind dokumentierte Information.</w:t>
      </w:r>
    </w:p>
    <w:p w14:paraId="47DDE216" w14:textId="77777777" w:rsidR="00D33678" w:rsidRDefault="00000000">
      <w:pPr>
        <w:pStyle w:val="Paragrafoelenco"/>
        <w:numPr>
          <w:ilvl w:val="0"/>
          <w:numId w:val="1"/>
        </w:numPr>
        <w:spacing w:after="80" w:line="270" w:lineRule="auto"/>
      </w:pPr>
      <w:r>
        <w:t>Abschnitt 9.1 (Überwachung, Messung, Analyse und Bewertung): die Emissionsbilanz ist ein zentraler Output des Überwachungsprozesses.</w:t>
      </w:r>
    </w:p>
    <w:p w14:paraId="2637309F" w14:textId="77777777" w:rsidR="00D33678" w:rsidRDefault="00000000">
      <w:pPr>
        <w:pStyle w:val="Paragrafoelenco"/>
        <w:numPr>
          <w:ilvl w:val="0"/>
          <w:numId w:val="1"/>
        </w:numPr>
        <w:spacing w:after="80" w:line="270" w:lineRule="auto"/>
      </w:pPr>
      <w:r>
        <w:t>Abschnitt 9.3 (Managementbewertung): die konsolidierte Emissionsbilanz ist Pflichtinput der Managementbewertung.</w:t>
      </w:r>
    </w:p>
    <w:p w14:paraId="2E511A4E" w14:textId="77777777" w:rsidR="00D33678" w:rsidRDefault="00000000">
      <w:pPr>
        <w:pBdr>
          <w:top w:val="single" w:sz="6" w:space="6" w:color="C9BBA6"/>
        </w:pBdr>
        <w:spacing w:before="400" w:after="80"/>
      </w:pPr>
      <w:r>
        <w:rPr>
          <w:rFonts w:ascii="Aptos Display" w:eastAsia="Aptos Display" w:hAnsi="Aptos Display" w:cs="Aptos Display"/>
          <w:b/>
          <w:bCs/>
          <w:color w:val="8C5A2B"/>
          <w:sz w:val="26"/>
          <w:szCs w:val="26"/>
        </w:rPr>
        <w:t>Abschluss des Kapitels 2 — Doku 2.6 bis 2.12</w:t>
      </w:r>
    </w:p>
    <w:p w14:paraId="786AF44E" w14:textId="77777777" w:rsidR="00D33678" w:rsidRDefault="00000000">
      <w:pPr>
        <w:spacing w:after="150" w:line="280" w:lineRule="auto"/>
        <w:jc w:val="both"/>
      </w:pPr>
      <w:r>
        <w:t>Dieses Paket schließt die Reihe der operativen Downloadables zum Kapitel 2 (Doku 2.6 Umweltziele → 2.7 Klimaresilienz → 2.8 Energiemanagement → 2.9 Wassermanagement → 2.10 Abfallmanagement → 2.11 Nachhaltiger Einkauf → 2.12 Emissionsmessung) ab. Zusammen bilden die sieben Pakete die operative Werkzeugkiste des Umweltmanagementsystems für den Beherbergungsbetrieb im DACH-Raum. Die einzelnen Pakete verweisen aufeinander und ergänzen sich zu einem konsistenten Ganzen.</w:t>
      </w:r>
    </w:p>
    <w:p w14:paraId="3A2B4999" w14:textId="77777777" w:rsidR="00D33678" w:rsidRDefault="00000000">
      <w:pPr>
        <w:pBdr>
          <w:top w:val="single" w:sz="6" w:space="6" w:color="C9BBA6"/>
        </w:pBdr>
        <w:spacing w:before="240" w:after="80"/>
      </w:pPr>
      <w:r>
        <w:rPr>
          <w:rFonts w:ascii="Aptos Display" w:eastAsia="Aptos Display" w:hAnsi="Aptos Display" w:cs="Aptos Display"/>
          <w:b/>
          <w:bCs/>
          <w:color w:val="8C5A2B"/>
          <w:sz w:val="24"/>
          <w:szCs w:val="24"/>
        </w:rPr>
        <w:t>Edizioni Effedore — Aktualisierung</w:t>
      </w:r>
    </w:p>
    <w:p w14:paraId="29B356C3" w14:textId="77777777" w:rsidR="00D33678" w:rsidRDefault="00000000">
      <w:pPr>
        <w:spacing w:after="120" w:line="270" w:lineRule="auto"/>
      </w:pPr>
      <w:r>
        <w:rPr>
          <w:i/>
          <w:iCs/>
          <w:color w:val="7A6A55"/>
          <w:sz w:val="21"/>
          <w:szCs w:val="21"/>
        </w:rPr>
        <w:t>Diese Seite wird gemäß der im Anhang 2 des Bandes festgelegten Regel der Aktualisierungen jährlich überprüft. Emissionsfaktoren — insbesondere der Strommix — werden jährlich vom UBA, Umweltbundesamt AT und BFE veröffentlicht; vor dem operativen Einsatz sind die aktuellen Werte an den Primärquellen zu bestätigen. Rückmeldungen und Korrekturen: buecher@effedore.com.</w:t>
      </w:r>
    </w:p>
    <w:sectPr w:rsidR="00D33678">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654D"/>
    <w:multiLevelType w:val="hybridMultilevel"/>
    <w:tmpl w:val="FF9A5F0E"/>
    <w:lvl w:ilvl="0" w:tplc="0B32ED3C">
      <w:start w:val="1"/>
      <w:numFmt w:val="bullet"/>
      <w:lvlText w:val="●"/>
      <w:lvlJc w:val="left"/>
      <w:pPr>
        <w:ind w:left="720" w:hanging="360"/>
      </w:pPr>
    </w:lvl>
    <w:lvl w:ilvl="1" w:tplc="D0EA4130">
      <w:start w:val="1"/>
      <w:numFmt w:val="bullet"/>
      <w:lvlText w:val="○"/>
      <w:lvlJc w:val="left"/>
      <w:pPr>
        <w:ind w:left="1440" w:hanging="360"/>
      </w:pPr>
    </w:lvl>
    <w:lvl w:ilvl="2" w:tplc="598A56DE">
      <w:start w:val="1"/>
      <w:numFmt w:val="bullet"/>
      <w:lvlText w:val="■"/>
      <w:lvlJc w:val="left"/>
      <w:pPr>
        <w:ind w:left="2160" w:hanging="360"/>
      </w:pPr>
    </w:lvl>
    <w:lvl w:ilvl="3" w:tplc="04DEFE1C">
      <w:start w:val="1"/>
      <w:numFmt w:val="bullet"/>
      <w:lvlText w:val="●"/>
      <w:lvlJc w:val="left"/>
      <w:pPr>
        <w:ind w:left="2880" w:hanging="360"/>
      </w:pPr>
    </w:lvl>
    <w:lvl w:ilvl="4" w:tplc="22E042B2">
      <w:start w:val="1"/>
      <w:numFmt w:val="bullet"/>
      <w:lvlText w:val="○"/>
      <w:lvlJc w:val="left"/>
      <w:pPr>
        <w:ind w:left="3600" w:hanging="360"/>
      </w:pPr>
    </w:lvl>
    <w:lvl w:ilvl="5" w:tplc="1E06129A">
      <w:start w:val="1"/>
      <w:numFmt w:val="bullet"/>
      <w:lvlText w:val="■"/>
      <w:lvlJc w:val="left"/>
      <w:pPr>
        <w:ind w:left="4320" w:hanging="360"/>
      </w:pPr>
    </w:lvl>
    <w:lvl w:ilvl="6" w:tplc="0484A552">
      <w:start w:val="1"/>
      <w:numFmt w:val="bullet"/>
      <w:lvlText w:val="●"/>
      <w:lvlJc w:val="left"/>
      <w:pPr>
        <w:ind w:left="5040" w:hanging="360"/>
      </w:pPr>
    </w:lvl>
    <w:lvl w:ilvl="7" w:tplc="AB2ADF50">
      <w:start w:val="1"/>
      <w:numFmt w:val="bullet"/>
      <w:lvlText w:val="●"/>
      <w:lvlJc w:val="left"/>
      <w:pPr>
        <w:ind w:left="5760" w:hanging="360"/>
      </w:pPr>
    </w:lvl>
    <w:lvl w:ilvl="8" w:tplc="932C9AC0">
      <w:start w:val="1"/>
      <w:numFmt w:val="bullet"/>
      <w:lvlText w:val="●"/>
      <w:lvlJc w:val="left"/>
      <w:pPr>
        <w:ind w:left="6480" w:hanging="360"/>
      </w:pPr>
    </w:lvl>
  </w:abstractNum>
  <w:num w:numId="1" w16cid:durableId="15440505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678"/>
    <w:rsid w:val="004D38C0"/>
    <w:rsid w:val="00D33678"/>
    <w:rsid w:val="00DF05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955B2"/>
  <w15:docId w15:val="{46504374-A7FC-46AD-8984-A1DA451CE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color w:val="3A3A3A"/>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2198</Words>
  <Characters>12531</Characters>
  <Application>Microsoft Office Word</Application>
  <DocSecurity>0</DocSecurity>
  <Lines>104</Lines>
  <Paragraphs>29</Paragraphs>
  <ScaleCrop>false</ScaleCrop>
  <Company/>
  <LinksUpToDate>false</LinksUpToDate>
  <CharactersWithSpaces>14700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Francesco Dore</cp:lastModifiedBy>
  <cp:revision>2</cp:revision>
  <dcterms:created xsi:type="dcterms:W3CDTF">2026-07-05T02:23:00Z</dcterms:created>
  <dcterms:modified xsi:type="dcterms:W3CDTF">2026-07-05T02:32:00Z</dcterms:modified>
</cp:coreProperties>
</file>