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ONLINE-PLATTFORM — buecher.effedore.com</w:t>
      </w:r>
    </w:p>
    <w:p>
      <w:pPr>
        <w:spacing w:after="40"/>
      </w:pPr>
    </w:p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Material zu Unterkapitel 11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1. Kriterien für die Auswahl umweltlich qualifizierter Lieferanten im DACH-Gastgewerbe</w:t>
      </w:r>
    </w:p>
    <w:p>
      <w:pPr>
        <w:spacing w:after="40"/>
      </w:pPr>
    </w:p>
    <w:p>
      <w:pPr>
        <w:spacing w:before="280" w:after="100"/>
      </w:pPr>
      <w:r>
        <w:rPr>
          <w:rFonts w:ascii="Georgia" w:hAnsi="Georgia"/>
          <w:b/>
          <w:color w:val="2C3E50"/>
          <w:sz w:val="24"/>
        </w:rPr>
        <w:t>*Strukturiertes Bewertungssystem für nachhaltiges Lieferantenmanagement nach ISO 14001:2026*</w:t>
      </w:r>
    </w:p>
    <w:p>
      <w:pPr>
        <w:spacing w:after="60"/>
      </w:pPr>
      <w:r>
        <w:rPr>
          <w:color w:val="2C3E50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Dokumentversion:</w:t>
      </w:r>
      <w:r>
        <w:rPr>
          <w:rFonts w:ascii="Georgia" w:hAnsi="Georgia"/>
          <w:sz w:val="19"/>
        </w:rPr>
        <w:t xml:space="preserve"> 1.0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Normative Referenz:</w:t>
      </w:r>
      <w:r>
        <w:rPr>
          <w:rFonts w:ascii="Georgia" w:hAnsi="Georgia"/>
          <w:sz w:val="19"/>
        </w:rPr>
        <w:t xml:space="preserve"> ISO 14001:2026 Klausel 8.1 (operative Planung und Steuerung); LkSG (DE); CSDDD 2024/1760/EU; ESRS G1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Überprüfungsfrequenz:</w:t>
      </w:r>
      <w:r>
        <w:rPr>
          <w:rFonts w:ascii="Georgia" w:hAnsi="Georgia"/>
          <w:sz w:val="19"/>
        </w:rPr>
        <w:t xml:space="preserve"> Jährlich — Neubewertung bei Lieferantenwechsel oder wesentlichen Änderungen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Vorbemerkung: Warum Lieferantenqualifizierung in der ISO 14001:2026 wichtiger geworden ist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 xml:space="preserve">Die Version 2026 stärkt explizit die Anforderung an die </w:t>
      </w:r>
      <w:r>
        <w:rPr>
          <w:rFonts w:ascii="Georgia" w:hAnsi="Georgia"/>
          <w:b/>
          <w:sz w:val="19"/>
        </w:rPr>
        <w:t>Kontrolle von Prozessen, Produkten und Dienstleistungen, die von externen Anbietern bereitgestellt werden</w:t>
      </w:r>
      <w:r>
        <w:rPr>
          <w:rFonts w:ascii="Georgia" w:hAnsi="Georgia"/>
          <w:sz w:val="19"/>
        </w:rPr>
        <w:t xml:space="preserve"> (Klausel 8.1). Das bedeutet: Ein Hotel kann sich nicht mehr hinter dem Argument verstecken, dass Lieferantenentscheidungen ausserhalb des Systemperimeters liegen. Die Wertschöpfungskette ist Teil des Systems.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 xml:space="preserve">Gleichzeitig treibt der </w:t>
      </w:r>
      <w:r>
        <w:rPr>
          <w:rFonts w:ascii="Georgia" w:hAnsi="Georgia"/>
          <w:b/>
          <w:sz w:val="19"/>
        </w:rPr>
        <w:t>LkSG-Cascade-Effekt</w:t>
      </w:r>
      <w:r>
        <w:rPr>
          <w:rFonts w:ascii="Georgia" w:hAnsi="Georgia"/>
          <w:sz w:val="19"/>
        </w:rPr>
        <w:t xml:space="preserve"> (Deutschland) und die </w:t>
      </w:r>
      <w:r>
        <w:rPr>
          <w:rFonts w:ascii="Georgia" w:hAnsi="Georgia"/>
          <w:b/>
          <w:sz w:val="19"/>
        </w:rPr>
        <w:t>CSDDD</w:t>
      </w:r>
      <w:r>
        <w:rPr>
          <w:rFonts w:ascii="Georgia" w:hAnsi="Georgia"/>
          <w:sz w:val="19"/>
        </w:rPr>
        <w:t xml:space="preserve"> (EU) die Anforderungen von oben: Corporate-Kunden, die selbst sorgfaltspflichtig sind, stellen zunehmend strukturierte ESG-Anforderungen an ihre Hotellieferanten — und erwarten, dass das Hotel seinerseits seine Lieferkette kennt und managt.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1 — Lieferanten-Klassifikationsrahmen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1.1 — Vier-Klassen-System nach Emissionsgewicht und Einflusspotenzial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Klasse A — Kritische Lieferanten (Aktives Engagement Pflicht):</w:t>
      </w:r>
    </w:p>
    <w:p>
      <w:pPr>
        <w:spacing w:after="60"/>
      </w:pPr>
      <w:r>
        <w:rPr>
          <w:rFonts w:ascii="Georgia" w:hAnsi="Georgia"/>
          <w:sz w:val="19"/>
        </w:rPr>
        <w:t>Hohe Emissionsrelevanz (&gt;10% Scope 3 Kat.1) UND hohes Einflusspotenzial des Hotels.</w:t>
      </w:r>
    </w:p>
    <w:p>
      <w:pPr>
        <w:spacing w:after="60"/>
      </w:pPr>
      <w:r>
        <w:rPr>
          <w:rFonts w:ascii="Georgia" w:hAnsi="Georgia"/>
          <w:sz w:val="19"/>
        </w:rPr>
        <w:t>Engagement: persönliches Gespräch + ESG-Fragebogen + vertragliche Anforderungen + jährliche Bewertung.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Klasse B — Wesentliche Lieferanten (Strukturiertes Monitoring):</w:t>
      </w:r>
    </w:p>
    <w:p>
      <w:pPr>
        <w:spacing w:after="60"/>
      </w:pPr>
      <w:r>
        <w:rPr>
          <w:rFonts w:ascii="Georgia" w:hAnsi="Georgia"/>
          <w:sz w:val="19"/>
        </w:rPr>
        <w:t>Mittlere Emissionsrelevanz (3–10% Scope 3 Kat.1) ODER hohes Einflusspotenzial.</w:t>
      </w:r>
    </w:p>
    <w:p>
      <w:pPr>
        <w:spacing w:after="60"/>
      </w:pPr>
      <w:r>
        <w:rPr>
          <w:rFonts w:ascii="Georgia" w:hAnsi="Georgia"/>
          <w:sz w:val="19"/>
        </w:rPr>
        <w:t>Engagement: ESG-Fragebogen + Mindestanforderungen im Vertrag + zweijährliche Bewertung.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Klasse C — Standard-Lieferanten (Code of Conduct):</w:t>
      </w:r>
    </w:p>
    <w:p>
      <w:pPr>
        <w:spacing w:after="60"/>
      </w:pPr>
      <w:r>
        <w:rPr>
          <w:rFonts w:ascii="Georgia" w:hAnsi="Georgia"/>
          <w:sz w:val="19"/>
        </w:rPr>
        <w:t>Geringe Emissionsrelevanz (&lt;3% Scope 3 Kat.1) UND geringes Einflusspotenzial.</w:t>
      </w:r>
    </w:p>
    <w:p>
      <w:pPr>
        <w:spacing w:after="60"/>
      </w:pPr>
      <w:r>
        <w:rPr>
          <w:rFonts w:ascii="Georgia" w:hAnsi="Georgia"/>
          <w:sz w:val="19"/>
        </w:rPr>
        <w:t>Engagement: Unterzeichnung Lieferanten-CoC + jährliche Selbstdeklaration.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Klasse D — Minimale Anforderungen:</w:t>
      </w:r>
    </w:p>
    <w:p>
      <w:pPr>
        <w:spacing w:after="60"/>
      </w:pPr>
      <w:r>
        <w:rPr>
          <w:rFonts w:ascii="Georgia" w:hAnsi="Georgia"/>
          <w:sz w:val="19"/>
        </w:rPr>
        <w:t>Vernachlässigbare Emissionsrelevanz, kein direkter Einfluss.</w:t>
      </w:r>
    </w:p>
    <w:p>
      <w:pPr>
        <w:spacing w:after="60"/>
      </w:pPr>
      <w:r>
        <w:rPr>
          <w:rFonts w:ascii="Georgia" w:hAnsi="Georgia"/>
          <w:sz w:val="19"/>
        </w:rPr>
        <w:t>Engagement: Allgemeine Einkaufsrichtlinie; kein dediziertes Einzelengagement.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1.2 — Klassifizierungsmatrix nach Lieferantenkategorie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Lieferantenkategorie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Typische Klasse 4★ Wien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Typische Klasse 5★ Resort CH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Emissionsrelevanz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Rindfleisch-/Kalb-Hauptlieferant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Sehr hoch (27 kgCO₂/kg)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Geflügel-/Schweinefleisch-Lieferant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Hoch (5–8 kgCO₂/kg)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Milch-/Käse-Hauptlieferant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Hoch (1,4–8,5 kgCO₂/kg)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Fisch-/Meeresfrüchte-Lieferant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Mittel-hoch (2–6 kgCO₂/kg)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Gemüse-/Obstlieferant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C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Gering (0,3–2 kgCO₂/kg)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Getränke-Hauptlieferant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C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C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Gering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Wäschereibetrieb (extern)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Mittel (Energie + Wasser)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Reinigungsmittel-Lieferant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Mittel (Chemikalien)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Energieversorger Strom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Sehr hoch (Scope 2)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Energieversorger Gas/Öl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Sehr hoch (Scope 1)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Amenities-Lieferant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Mittel (Verpackung)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Technische Wartung (Kälteanlagen)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Mittel (F-Gas)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IT/Software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C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C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Gering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Büromaterial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Vernachlässigbar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2 — Lieferanten-Bewertungsformular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2.1 — ESG-Fragebogen für Klasse-A-Lieferanten (Vollversion)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Dieser Fragebogen wird jährlich an alle Klasse-A-Lieferanten versandt. Rücklaufzeit: 30 Tage.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LIEFERANTEN-ESG-FRAGEBOGEN</w:t>
      </w: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[Hotelname] | Bezugsjahr [Jahr]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>Lieferantenname: _______________ | Kontaktperson: _______________ | Datum: _______________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BLOCK 1 — Umweltmanagementsystem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Nr.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Frage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Antwort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Nachweis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1.1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Besteht ein zertifiziertes Umweltmanagementsystem?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☐ ISO 14001 / ☐ EMAS / ☐ Anderes / ☐ Keines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Zertifikat (Kopie)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1.2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Wenn ISO 14001: Zertifikatsnummer und Gültigkeitsdatum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1.3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Wurde ein Nachhaltigkeitsbericht veröffentlicht?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☐ Ja (Link: ___) / ☐ Nein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1.4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Gibt es quantifizierte Umweltziele (Energie, Wasser, CO₂)?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☐ Ja / ☐ Nein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Zieldokument</w:t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BLOCK 2 — Treibhausgasemissionen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Nr.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Frage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Antwort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Nachweis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2.1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Wird ein THG-Inventar nach GHG Protocol erstellt?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☐ Scope 1+2 / ☐ Scope 1+2+3 / ☐ Nein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Inventar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2.2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Scope-1+2-Emissionen letztes Berichtsjahr (tCO₂e)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Inventar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2.3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Spezifischer Emissionsfaktor des an uns gelieferten Produkts (kgCO₂e/kg oder kgCO₂e/Einheit)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Produktblatt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2.4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Existiert ein validieres Reduktionsziel (SBTi oder äquivalent)?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☐ Ja / ☐ In Vorbereitung / ☐ Nein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SBTi-Nachweis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2.5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Geplante CO₂-Reduktion bis 2030 (%):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% ggü. Basisjahr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BLOCK 3 — Wasserverbrauch und -qualität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Nr.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Frage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Antwort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Nachweis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3.1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Wird Wasserverbrauch gemessen und dokumentiert?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☐ Ja / ☐ Nein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3.2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Wasserintensität (m³ / Produkteinheit):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3.3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Liegt der Standort in einem wasserstressgefährdeten Gebiet?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☐ Ja / ☐ Nein / ☐ Nicht bekannt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WRI Aqueduct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3.4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Werden Massnahmen zur Wasserreduktion implementiert?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☐ Ja (welche: ___) / ☐ Nein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BLOCK 4 — Soziale Standards (LkSG-Konformität)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Nr.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Frage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Antwort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Nachweis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4.1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Werden alle Mitarbeiter nach nationalem Mindestlohn entlohnt?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☐ Ja / ☐ Nicht zutreffend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4.2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Gibt es ein Beschwerdeverfahren für Mitarbeiter?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☐ Ja / ☐ Nein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4.3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Wurde in den letzten 3 Jahren eine externe Sozialaudit durchgeführt?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☐ Ja (durch: ___) / ☐ Nein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Auditbericht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4.4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Existiert ein Verhaltenskodex für Sublieferanten?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☐ Ja / ☐ Nein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CoC-Dokument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4.5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Werden Herkunft und Rückverfolgbarkeit der Rohstoffe dokumentiert?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☐ Vollständig / ☐ Teilweise / ☐ Nein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BLOCK 5 — Produktspezifische Umweltanforderungen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Nr.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Frage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Antwort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Nachweis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5.1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Trägt das Produkt ein anerkanntes Umweltzeichen?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☐ Bio/EU-Biozeichen / ☐ EU-Ecolabel / ☐ Blauer Engel / ☐ MSC / ☐ ASC / ☐ Fairtrade / ☐ FSC / ☐ Anderes / ☐ Keines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Zertifikat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5.2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Werden Verpackungen minimiert / aus Recyclingmaterial hergestellt?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☐ Ja / ☐ Teilweise / ☐ Nein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5.3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Gibt es ein Rücknahme- oder Recyclingprogramm für Verpackungen?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☐ Ja / ☐ Nein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5.4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Entfernung des Produktionsstandorts vom Hotel (km):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km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5.5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Transportmittel für Lieferung an Hotel: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☐ LKW konventionell / ☐ LKW Elektro/Gas / ☐ Bahn / ☐ Sonstiges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BLOCK 6 — Verbesserungsbereitschaft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Nr.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Frage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Antwort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6.1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Sind Sie bereit, jährlich primäre Emissionsdaten für unsere Scope-3-Berichterstattung bereitzustellen?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☐ Ja / ☐ Ja, gegen Aufwandsentschädigung / ☐ Nein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6.2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Sind Sie bereit, an gemeinsamen Verbesserungsprojekten teilzunehmen?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☐ Ja / ☐ Vielleicht / ☐ Nein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6.3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Haben Sie Interesse an einem ISO-14001-Zertifizierungsprojekt?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☐ Ja / ☐ In Zukunft / ☐ Nein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2.2 — Bewertungsschlüssel und Scoring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Bewertungsbereich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Max. Punkte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Gewichtung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Mindestanforderung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Block 1 — UMS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15%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≥8 Punkte (40%)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Block 2 — THG-Emissionen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30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25%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≥12 Punkte (40%)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Block 3 — Wasser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15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10%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Keine Mindestanforderung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Block 4 — Soziale Standards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25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20%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≥15 Punkte (60%)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Block 5 — Produktspez. Umwelt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25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20%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≥10 Punkte (40%)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Block 6 — Bereitschaft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10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10%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Keine</w:t>
            </w:r>
          </w:p>
        </w:tc>
      </w:tr>
      <w:tr>
        <w:tc>
          <w:tcPr>
            <w:tcW w:type="dxa" w:w="255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**GESAMT**</w:t>
            </w:r>
          </w:p>
        </w:tc>
        <w:tc>
          <w:tcPr>
            <w:tcW w:type="dxa" w:w="255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**125**</w:t>
            </w:r>
          </w:p>
        </w:tc>
        <w:tc>
          <w:tcPr>
            <w:tcW w:type="dxa" w:w="255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**100%**</w:t>
            </w:r>
          </w:p>
        </w:tc>
        <w:tc>
          <w:tcPr>
            <w:tcW w:type="dxa" w:w="255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**≥50 Punkte (40%)**</w:t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Lieferanten-Qualifizierungsstufen: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Gesamtscore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Stufe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Massnahme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≥90 Punkte</w:t>
            </w:r>
          </w:p>
        </w:tc>
        <w:tc>
          <w:tcPr>
            <w:tcW w:type="dxa" w:w="3400"/>
            <w:shd w:val="clear" w:color="auto" w:fill="D5F5E3"/>
          </w:tcPr>
          <w:p>
            <w:r>
              <w:rPr>
                <w:rFonts w:ascii="Georgia" w:hAnsi="Georgia"/>
                <w:sz w:val="16"/>
              </w:rPr>
              <w:t>🟢 Preferred Supplier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Langfristige Partnerschaft; Referenz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70–89 Punkte</w:t>
            </w:r>
          </w:p>
        </w:tc>
        <w:tc>
          <w:tcPr>
            <w:tcW w:type="dxa" w:w="3400"/>
            <w:shd w:val="clear" w:color="auto" w:fill="FEF9E7"/>
          </w:tcPr>
          <w:p>
            <w:r>
              <w:rPr>
                <w:rFonts w:ascii="Georgia" w:hAnsi="Georgia"/>
                <w:sz w:val="16"/>
              </w:rPr>
              <w:t>🟡 Qualified Supplier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Standard-Lieferant; Verbesserungsplan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50–69 Punkte</w:t>
            </w:r>
          </w:p>
        </w:tc>
        <w:tc>
          <w:tcPr>
            <w:tcW w:type="dxa" w:w="3400"/>
            <w:shd w:val="clear" w:color="auto" w:fill="FDEBD0"/>
          </w:tcPr>
          <w:p>
            <w:r>
              <w:rPr>
                <w:rFonts w:ascii="Georgia" w:hAnsi="Georgia"/>
                <w:sz w:val="16"/>
              </w:rPr>
              <w:t>🟠 Conditional Supplier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Verbesserungsplan mit Fristen; Nachkontrolle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&lt;50 Punkte</w:t>
            </w:r>
          </w:p>
        </w:tc>
        <w:tc>
          <w:tcPr>
            <w:tcW w:type="dxa" w:w="3400"/>
            <w:shd w:val="clear" w:color="auto" w:fill="FADBD8"/>
          </w:tcPr>
          <w:p>
            <w:r>
              <w:rPr>
                <w:rFonts w:ascii="Georgia" w:hAnsi="Georgia"/>
                <w:sz w:val="16"/>
              </w:rPr>
              <w:t>🔴 Non-Qualified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Ablehnung oder intensive Entwicklung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3 — Lieferanten-Code of Conduct (Klasse B und C)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Vorlage für kürzere Selbstverpflichtungserklärung — geeignet für alle Lieferanten ab Klasse B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LIEFERANTEN-CODE OF CONDUCT</w:t>
      </w: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[Hotelname] | Version [Datum]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>Als Lieferant von [Hotelname] verpflichtet sich [Lieferantenname] zur Einhaltung folgender Mindeststandards: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Umwelt: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Einhaltung aller anwendbaren Umweltgesetze und -vorschriften am Produktionsstandort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Kontinuierliche Bemühung zur Reduktion von Energie-, Wasser- und Ressourcenverbrauch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Ordnungsgemässe Entsorgung aller Abfälle und gefährlichen Stoffe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Transparente Kommunikation über wesentliche Umweltvorfälle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Soziale Standards: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Einhaltung des anwendbaren nationalen Mindestlohns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Keine Kinder- oder Zwangsarbeit (ILO-Grundübereinkommen)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Sicheres Arbeitsumfeld gemäss nationalem Arbeitsschutzrecht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Freiheit der Vereinigung und Kollektivverhandlung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Governance: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Keine Korruption oder Bestechung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Transparente Geschäftsbeziehungen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Recht auf Auditierung durch [Hotelname] auf Anfrage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Kommunikation: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Jährliche Selbstdeklaration zur Einhaltung dieses CoC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Unverzügliche Meldung wesentlicher Verstösse an [Hotelname]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>Unterzeichnet: _______________ | Datum: _______________ | Funktion: _______________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2. LkSG-Leitfaden für mittlere Beherbergungsbetriebe</w:t>
      </w:r>
    </w:p>
    <w:p>
      <w:pPr>
        <w:spacing w:after="40"/>
      </w:pPr>
    </w:p>
    <w:p>
      <w:pPr>
        <w:spacing w:before="280" w:after="100"/>
      </w:pPr>
      <w:r>
        <w:rPr>
          <w:rFonts w:ascii="Georgia" w:hAnsi="Georgia"/>
          <w:b/>
          <w:color w:val="2C3E50"/>
          <w:sz w:val="24"/>
        </w:rPr>
        <w:t>*Praktischer Orientierungsrahmen für Hotels mit 250–999 Mitarbeitern (DE)*</w:t>
      </w:r>
    </w:p>
    <w:p>
      <w:pPr>
        <w:spacing w:after="60"/>
      </w:pPr>
      <w:r>
        <w:rPr>
          <w:color w:val="2C3E50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Normative Referenz:</w:t>
      </w:r>
      <w:r>
        <w:rPr>
          <w:rFonts w:ascii="Georgia" w:hAnsi="Georgia"/>
          <w:sz w:val="19"/>
        </w:rPr>
        <w:t xml:space="preserve"> Lieferkettensorgfaltspflichtengesetz (LkSG, BGBl. I Nr. 2 vom 22.7.2021); BAFA-Handreichungen; CSDDD 2024/1760/EU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Gültig für:</w:t>
      </w:r>
      <w:r>
        <w:rPr>
          <w:rFonts w:ascii="Georgia" w:hAnsi="Georgia"/>
          <w:sz w:val="19"/>
        </w:rPr>
        <w:t xml:space="preserve"> Deutsche Hotels ab 1.000 MA (direkte LkSG-Pflicht) und Hotels 250–999 MA (Cascade-Exposition als Lieferanten von LkSG-pflichtigen Unternehmen)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Hinweis:</w:t>
      </w:r>
      <w:r>
        <w:rPr>
          <w:rFonts w:ascii="Georgia" w:hAnsi="Georgia"/>
          <w:sz w:val="19"/>
        </w:rPr>
        <w:t xml:space="preserve"> Dieser Leitfaden ist eine operative Orientierungshilfe. Bei konkreten Rechtsfragen ist ein auf LkSG spezialisierter Anwalt hinzuzuziehen.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1 — Wer ist direkt LkSG-pflichtig?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Schwellenwert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Gültig seit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Direktpflichtig?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Unternehmen ≥3.000 Mitarbeiter in DE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1. Januar 2023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Ja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Unternehmen ≥1.000 Mitarbeiter in DE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1. Januar 2024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Ja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Unternehmen &lt;1.000 Mitarbeiter in DE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Nein (aber Cascade-Exposition)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CSDDD (EU) — ≥500 MA / ≥150 Mio. EU-Umsatz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National umzusetzen bis [V]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Ja (wenn Schwelle erreicht)</w:t>
            </w:r>
          </w:p>
        </w:tc>
      </w:tr>
    </w:tbl>
    <w:p/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Für die meisten mittleren Hotelgruppen (250–999 MA):</w:t>
      </w:r>
      <w:r>
        <w:rPr>
          <w:rFonts w:ascii="Georgia" w:hAnsi="Georgia"/>
          <w:sz w:val="19"/>
        </w:rPr>
        <w:t xml:space="preserve"> Keine direkte LkSG-Pflicht — aber </w:t>
      </w:r>
      <w:r>
        <w:rPr>
          <w:rFonts w:ascii="Georgia" w:hAnsi="Georgia"/>
          <w:b/>
          <w:sz w:val="19"/>
        </w:rPr>
        <w:t>indirekte Exposition als Lieferant</w:t>
      </w:r>
      <w:r>
        <w:rPr>
          <w:rFonts w:ascii="Georgia" w:hAnsi="Georgia"/>
          <w:sz w:val="19"/>
        </w:rPr>
        <w:t xml:space="preserve"> von LkSG-pflichtigen Corporate-Kunden.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2 — Der Cascade-Effekt: Warum das Thema trotzdem relevant ist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Mechanismus:</w:t>
      </w:r>
      <w:r>
        <w:rPr>
          <w:rFonts w:ascii="Georgia" w:hAnsi="Georgia"/>
          <w:sz w:val="19"/>
        </w:rPr>
        <w:t xml:space="preserve"> Ein DAX-Unternehmen (z.B. BMW, Siemens, Deutsche Bank) ist LkSG-pflichtig. Es muss eine Risikoanalyse seiner Lieferkette durchführen — auch für Hoteldienstleistungen, die es für Mitarbeiterreisen und Tagungen einkauft. Das LkSG-pflichtige Unternehmen hat das Recht, von seinem Hotellieferanten Informationen über dessen Sorgfaltspflichten einzufordern.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Praktische Auswirkungen: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Wachsende ESG-Fragebögen von Corporate-Kunden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Mindestanforderungen im RFP-Prozess: ISO 14001, Umweltpolitik, Lieferanten-CoC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Audit-Recht auf ESG-Praktiken des Hotels als Vertragsklausel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Ausschluss aus Preferred-Hotel-Programmen ohne ESG-Nachweis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3 — Sieben LkSG-Sorgfaltspflichten (Überblick)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>Das LkSG definiert sieben Sorgfaltspflichten für direkt pflichtige Unternehmen. Mittlere Hotels sollten diese kennen, weil Corporate-Kunden sie auch bei ihren Lieferanten (indirekt) einfordern: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Pflicht 1 — Risikoanalyse (§5 LkSG):</w:t>
      </w:r>
    </w:p>
    <w:p>
      <w:pPr>
        <w:spacing w:after="60"/>
      </w:pPr>
      <w:r>
        <w:rPr>
          <w:rFonts w:ascii="Georgia" w:hAnsi="Georgia"/>
          <w:sz w:val="19"/>
        </w:rPr>
        <w:t>Identifikation von Risiken für Menschenrechte und Umwelt in der eigenen Lieferkette. Für Hotels: Lebensmittellieferkette, Textilien (Uniformen), Reinigungsmittel, Elektronik.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Pflicht 2 — Präventionsmassnahmen (§6 LkSG):</w:t>
      </w:r>
    </w:p>
    <w:p>
      <w:pPr>
        <w:spacing w:after="60"/>
      </w:pPr>
      <w:r>
        <w:rPr>
          <w:rFonts w:ascii="Georgia" w:hAnsi="Georgia"/>
          <w:sz w:val="19"/>
        </w:rPr>
        <w:t>Massnahmen zur Vermeidung identifizierter Risiken. Für Hotels: Lieferanten-Code of Conduct, Auswahl von Lieferanten mit sozialen und Umweltzertifizierungen.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Pflicht 3 — Abhilfemassnahmen (§7 LkSG):</w:t>
      </w:r>
    </w:p>
    <w:p>
      <w:pPr>
        <w:spacing w:after="60"/>
      </w:pPr>
      <w:r>
        <w:rPr>
          <w:rFonts w:ascii="Georgia" w:hAnsi="Georgia"/>
          <w:sz w:val="19"/>
        </w:rPr>
        <w:t>Reaktion wenn Risiken oder Verletzungen identifiziert werden. Für Hotels: Eskalationsprotokoll, Lieferantenwechsel, Vertragsklauseln.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Pflicht 4 — Beschwerdeverfahren (§8 LkSG):</w:t>
      </w:r>
    </w:p>
    <w:p>
      <w:pPr>
        <w:spacing w:after="60"/>
      </w:pPr>
      <w:r>
        <w:rPr>
          <w:rFonts w:ascii="Georgia" w:hAnsi="Georgia"/>
          <w:sz w:val="19"/>
        </w:rPr>
        <w:t>Zugänglicher Kanal für Meldungen von Menschenrechtsverletzungen in der Lieferkette. Für Hotels: E-Mail-Adresse oder Ombudsmann-Konzept.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Pflicht 5 — Umsetzung bzgl. mittelbarer Zulieferer (§9 LkSG):</w:t>
      </w:r>
    </w:p>
    <w:p>
      <w:pPr>
        <w:spacing w:after="60"/>
      </w:pPr>
      <w:r>
        <w:rPr>
          <w:rFonts w:ascii="Georgia" w:hAnsi="Georgia"/>
          <w:sz w:val="19"/>
        </w:rPr>
        <w:t>Reaktion auf anlassbezogene Hinweise zu mittelbaren Lieferanten. Für Hotels: Protokoll für Hinweisbearbeitung.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Pflicht 6 — Dokumentation (§10 LkSG):</w:t>
      </w:r>
    </w:p>
    <w:p>
      <w:pPr>
        <w:spacing w:after="60"/>
      </w:pPr>
      <w:r>
        <w:rPr>
          <w:rFonts w:ascii="Georgia" w:hAnsi="Georgia"/>
          <w:sz w:val="19"/>
        </w:rPr>
        <w:t>Interne Dokumentation aller Sorgfaltspflichtenaktivitäten für 7 Jahre.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Pflicht 7 — Berichterstattung (§10 LkSG):</w:t>
      </w:r>
    </w:p>
    <w:p>
      <w:pPr>
        <w:spacing w:after="60"/>
      </w:pPr>
      <w:r>
        <w:rPr>
          <w:rFonts w:ascii="Georgia" w:hAnsi="Georgia"/>
          <w:sz w:val="19"/>
        </w:rPr>
        <w:t>Jährlicher Bericht an BAFA, öffentlich verfügbar auf der Unternehmenswebsite (nur für direkt Pflichtige).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4 — Praktische LkSG-Vorbereitung für mittlere Hotels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Auch ohne direkte LkSG-Pflicht: Diese Massnahmen bereiten auf Corporate-Anforderungen vor und stärken das ISO-14001:2026-System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4.1 — Sofortmassnahmen (ohne grossen Aufwand)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Schritt 1 — Risikolieferanten identifizieren:</w:t>
      </w:r>
    </w:p>
    <w:p>
      <w:pPr>
        <w:spacing w:after="60"/>
      </w:pPr>
      <w:r>
        <w:rPr>
          <w:rFonts w:ascii="Georgia" w:hAnsi="Georgia"/>
          <w:sz w:val="19"/>
        </w:rPr>
        <w:t>Welche Lieferanten haben Produktionsstandorte in Hochrisikoländern (nach BAFA-Länderliste)?</w:t>
      </w:r>
    </w:p>
    <w:p>
      <w:pPr>
        <w:spacing w:after="60"/>
      </w:pPr>
      <w:r>
        <w:rPr>
          <w:rFonts w:ascii="Georgia" w:hAnsi="Georgia"/>
          <w:sz w:val="19"/>
        </w:rPr>
        <w:t>Typisch für Hotels: Textilien (Uniformen, Bettwäsche wenn importiert), exotische Lebensmittel, Elektronik.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Kostenloses Tool: BAFA-Risikoländerliste auf bafa.de; KnowTheChain Benchmark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Schritt 2 — Lieferanten-Code of Conduct einführen:</w:t>
      </w:r>
    </w:p>
    <w:p>
      <w:pPr>
        <w:spacing w:after="60"/>
      </w:pPr>
      <w:r>
        <w:rPr>
          <w:rFonts w:ascii="Georgia" w:hAnsi="Georgia"/>
          <w:sz w:val="19"/>
        </w:rPr>
        <w:t>Vorlage aus Abschnitt 3 dieses Dokuments verwenden. An alle Klasse-B-Lieferanten versenden und unterzeichnet zurückfordern.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Schritt 3 — Beschwerdeverfahren einrichten:</w:t>
      </w:r>
    </w:p>
    <w:p>
      <w:pPr>
        <w:spacing w:after="60"/>
      </w:pPr>
      <w:r>
        <w:rPr>
          <w:rFonts w:ascii="Georgia" w:hAnsi="Georgia"/>
          <w:sz w:val="19"/>
        </w:rPr>
        <w:t>Einfachste Lösung: Dedizierte E-Mail-Adresse (z.B. hinweise@[hotelname].de) + schriftliches Protokoll der Bearbeitung + Rückmeldung an Hinweisgeber innerhalb 30 Tage.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Schritt 4 — Interne Dokumentation starten:</w:t>
      </w:r>
    </w:p>
    <w:p>
      <w:pPr>
        <w:spacing w:after="60"/>
      </w:pPr>
      <w:r>
        <w:rPr>
          <w:rFonts w:ascii="Georgia" w:hAnsi="Georgia"/>
          <w:sz w:val="19"/>
        </w:rPr>
        <w:t>Ordner (physisch oder digital): "LkSG-Sorgfaltsdokumentation" mit Datum der Erstellung. Enthält: CoC-Unterzeichnungen, ESG-Fragebogen-Ergebnisse, Protokolle Beschwerdeverfahren.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4.2 — Mittelfristige Massnahmen (6–18 Monate)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Risikoanalyse dokumentieren:</w:t>
      </w:r>
    </w:p>
    <w:p>
      <w:pPr>
        <w:spacing w:after="60"/>
      </w:pPr>
      <w:r>
        <w:rPr>
          <w:rFonts w:ascii="Georgia" w:hAnsi="Georgia"/>
          <w:sz w:val="19"/>
        </w:rPr>
        <w:t>Strukturierte Analyse der Top-10-Lieferanten nach Menschenrechts- und Umweltrisiko. Format: Tabelle mit Lieferant / Herkunftsland / Identifiziertes Risiko / Bewertung / Massnahme.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ESG-Fragebogen-Prozess etablieren:</w:t>
      </w:r>
    </w:p>
    <w:p>
      <w:pPr>
        <w:spacing w:after="60"/>
      </w:pPr>
      <w:r>
        <w:rPr>
          <w:rFonts w:ascii="Georgia" w:hAnsi="Georgia"/>
          <w:sz w:val="19"/>
        </w:rPr>
        <w:t>Jährlicher Versand an Klasse-A-Lieferanten; Ergebnisse in Lieferantenbewertung integrieren; Ergebnisse dokumentieren.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ISO-14001:2026-Systemintegration:</w:t>
      </w:r>
    </w:p>
    <w:p>
      <w:pPr>
        <w:spacing w:after="60"/>
      </w:pPr>
      <w:r>
        <w:rPr>
          <w:rFonts w:ascii="Georgia" w:hAnsi="Georgia"/>
          <w:sz w:val="19"/>
        </w:rPr>
        <w:t>LkSG-Aktivitäten in die Klausel-8.1-Dokumentation integrieren. Die ISO-14001:2026-Anforderung zur Kontrolle externer Anbieter und die LkSG-Risikoanalyse sind strukturell komplementär.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5 — BAFA-Handreichungen und Ressourcen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Ressource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Inhalt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Zugang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BAFA-Handreichung LkSG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Erläuterungen zu allen Pflichten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bafa.de/lksg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BAFA-Meldeformular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Jährlicher Berichtsformular (nur für direkt Pflichtige)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bafa.de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BAFA-Risikoländerliste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Länder mit erhöhtem Menschenrechtsrisiko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bafa.de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UNGP Umsetzungsleitfaden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UN-Leitprinzipien für Wirtschaft und Menschenrechte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ohchr.org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DNK-Standard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Deutscher Nachhaltigkeitskodex — auch für mittlere Unternehmen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deutscher-nachhaltigkeitskodex.de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GRI 414 (Lieferanten-soziale Beurteilung)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Berichtsstandard für Lieferkettenthemen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globalreporting.org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WKO Österreich — LkSG-Info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Implikationen für österreichische Lieferanten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wko.at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3. Scope-3-Kategorie-1-Berechnungsvorlage</w:t>
      </w:r>
    </w:p>
    <w:p>
      <w:pPr>
        <w:spacing w:after="40"/>
      </w:pPr>
    </w:p>
    <w:p>
      <w:pPr>
        <w:spacing w:before="280" w:after="100"/>
      </w:pPr>
      <w:r>
        <w:rPr>
          <w:rFonts w:ascii="Georgia" w:hAnsi="Georgia"/>
          <w:b/>
          <w:color w:val="2C3E50"/>
          <w:sz w:val="24"/>
        </w:rPr>
        <w:t>*Vollständiges Excel-Template für die Berechnung der vorgelagerten Lieferketten-Emissionen*</w:t>
      </w:r>
    </w:p>
    <w:p>
      <w:pPr>
        <w:spacing w:after="60"/>
      </w:pPr>
      <w:r>
        <w:rPr>
          <w:color w:val="2C3E50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Normative Referenz:</w:t>
      </w:r>
      <w:r>
        <w:rPr>
          <w:rFonts w:ascii="Georgia" w:hAnsi="Georgia"/>
          <w:sz w:val="19"/>
        </w:rPr>
        <w:t xml:space="preserve"> GHG Protocol Scope 3 Standard; ISO 14064-1:2018; ESRS E1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Berechnungsmethode:</w:t>
      </w:r>
      <w:r>
        <w:rPr>
          <w:rFonts w:ascii="Georgia" w:hAnsi="Georgia"/>
          <w:sz w:val="19"/>
        </w:rPr>
        <w:t xml:space="preserve"> Hybridansatz — aktivitätsbasiert für Lebensmittel; spend-based für sonstige Einkäufe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Vorbemerkung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>Kategorie 1 des Scope 3 — "Eingekaufte Waren und Dienstleistungen" — ist für die meisten Hotels die grösste Scope-3-Kategorie nach Gästemobilität. Sie umfasst alle THG-Emissionen, die bei der Herstellung der vom Hotel eingekauften Produkte und Dienstleistungen entstehen.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Berechnungshierarchie (Qualitätsstufen):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Stufe 1 (höchste Qualität): Primärdaten direkt vom Lieferanten (kgCO₂e/kg Produkt)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Stufe 2: Aktivitätsbasiert mit Branchen-Emissionsfaktoren (kg Verbrauch × EF)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Stufe 3 (Einstieg): Spend-based (€ Ausgaben × monetärer EF)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>Für Lebensmittel: immer Stufe 2 anstreben — der Unterschied zwischen Rindfleisch und Gemüse ist zu gross für Spend-based.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Modul A — Lebensmittel und Getränke (Aktivitätsbasiert)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A1 — Fleisch und Tierprodukte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Lebensmittel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Jahresverbrauch (kg)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EF (kgCO₂e/kg)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tCO₂e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Qualitätsstufe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Datenquelle EF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Rindfleisch (konventionell)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27,0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Agroscope 2023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Rindfleisch (Bio, Weidehaltung)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22,0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Agroscope 2023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Kalbfleisch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23,0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Agroscope 2023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Lammfleisch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24,5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Agroscope 2023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Schweinefleisch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7,6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Agroscope 2023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Geflügel (Huhn)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4,6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Agroscope 2023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Geflügel (Pute)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6,0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Agroscope 2023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Wild (Hirsch, Reh)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14,0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Agroscope 2023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Wild (Wildschwein)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10,0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Agroscope 2023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Lachs (Aquakultur)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4,0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Agroscope 2023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Lachs (Wildlachs, Alaska)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2,5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Agroscope 2023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Seelachs / Kabeljau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3,5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Agroscope 2023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Süsswasserfisch (regional)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2,0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Agroscope 2023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Garnelen (Aquakultur)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12,0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Agroscope 2023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Eier (Freilandhaltung)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2,9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Agroscope 2023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Milch (konventionell)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1,4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Agroscope 2023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Milch (Bio)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1,2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Agroscope 2023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Butter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9,0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Agroscope 2023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Käse (Hartkäse, Bergkäse)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8,5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Agroscope 2023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Käse (Frischkäse)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4,5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Agroscope 2023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Joghurt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1,8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Agroscope 2023 [V]</w:t>
            </w:r>
          </w:p>
        </w:tc>
      </w:tr>
      <w:tr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**Zwischensumme Fleisch + Tierprodukte**</w:t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**=SUMME**</w:t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A2 — Pflanzliche Lebensmittel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Lebensmittel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Jahresverbrauch (kg)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EF (kgCO₂e/kg)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tCO₂e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Qualitätsstufe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Datenquelle EF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Weizenmehl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0,5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Brot und Backwaren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0,7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Reis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2,5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Kartoffeln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0,3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Tomaten (Gewächshaus)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1,9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Tomaten (Freiland, Saison)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0,8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Karotten und Wurzelgemüse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0,4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Blattsalate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0,9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Brokkoli / Blumenkohl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0,9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Spargel (regional, Saison)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1,2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Spargel (Import, Flugware)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8,0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Äpfel (regional)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0,3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Zitrusfrüchte (Import)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0,6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Beeren (regional)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0,8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Hülsenfrüchte (Linsen, Bohnen)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0,9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Olivenöl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3,5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Sonnenblumenöl / Rapsöl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1,5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Kaffee (Arabica, Röstkaffee)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3,5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Tee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3,0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Schokolade / Kakao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4,0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Zucker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0,7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**Zwischensumme Pflanzlich**</w:t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**=SUMME**</w:t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A3 — Getränke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Getränk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Jahresverbrauch (Liter)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EF (kgCO₂e/L)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tCO₂e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Qualitätsstufe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Datenquelle EF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Wein (regional)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1,0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Wein (Import, &gt;500 km)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1,5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Bier (regional, Fass)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0,5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Bier (Flasche)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0,7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Mineralwasser (regional, Glas)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Mineralwasser (PET)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0,3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Fruchtsäfte (Konzentrat)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0,8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Spirituosen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1,2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Agroscope [V]</w:t>
            </w:r>
          </w:p>
        </w:tc>
      </w:tr>
      <w:tr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**Zwischensumme Getränke**</w:t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**=SUMME**</w:t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Modul B — Sonstige Einkäufe und Dienstleistungen (Spend-based)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Für Kategorien, bei denen aktivitätsbasierte Berechnung nicht praktikabel ist</w:t>
      </w:r>
      <w:r>
        <w:rPr>
          <w:rFonts w:ascii="Georgia" w:hAnsi="Georgia"/>
          <w:sz w:val="19"/>
        </w:rPr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Kategorie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Jahresausgaben (€)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Spend-EF (kgCO₂e/€)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tCO₂e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Qualitätsstufe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Datenquelle EF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Reinigungsmittel und -materialien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0,004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S3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EXIOBASE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Wäschereibetrieb (extern)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0,006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S3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EXIOBASE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Amenities und Verbrauchsmaterialien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0,005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S3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EXIOBASE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Technische Wartungsdienstleistungen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0,003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S3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EXIOBASE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Büromaterial und Drucksachen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0,005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S3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EXIOBASE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IT-Dienstleistungen und Software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0,004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S3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EXIOBASE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Blumen und Dekoration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0,006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S3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EXIOBASE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Textilien / Uniform-Neuanschaffung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0,008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S3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EXIOBASE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Marketingdienstleistungen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0,002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S3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EXIOBASE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Steuerberatung / Rechtsdienste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0,001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S3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EXIOBASE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Versicherungen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0,001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S3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EXIOBASE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Sonstige Dienstleistungen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0,003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=A×B/1000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S3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EXIOBASE [V]</w:t>
            </w:r>
          </w:p>
        </w:tc>
      </w:tr>
      <w:tr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**Zwischensumme Sonstiges**</w:t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**=SUMME**</w:t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Modul C — Zusammenfassung und KPIs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Kategorie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tCO₂e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% Gesamtemissionen Kat.1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Priorität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Fleisch und Tierprodukte (A1)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Pflanzliche Lebensmittel (A2)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Getränke (A3)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Sonstige Einkäufe (B)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255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**TOTAL Scope 3 Kategorie 1**</w:t>
            </w:r>
          </w:p>
        </w:tc>
        <w:tc>
          <w:tcPr>
            <w:tcW w:type="dxa" w:w="255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**[AUTO]**</w:t>
            </w:r>
          </w:p>
        </w:tc>
        <w:tc>
          <w:tcPr>
            <w:tcW w:type="dxa" w:w="255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**100%**</w:t>
            </w:r>
          </w:p>
        </w:tc>
        <w:tc>
          <w:tcPr>
            <w:tcW w:type="dxa" w:w="255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davon Stufe-2-Berechnung (aktivitätsbasiert)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%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davon Stufe-3-Berechnung (spend-based)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%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KPIs: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KPI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Wert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Einheit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Vorjahr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Trend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Scope 3 Kat.1 gesamt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tCO₂e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Scope 3 Kat.1 / Gästenacht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kgCO₂e/GN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Emissionsanteil Fleisch an Kat.1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%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Emissionsanteil Tierprodukte gesamt an Kat.1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%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Anteil regionaler Einkauf (&lt;150 km)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% Warenwert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Anteil Bio-zertifiziert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% Warenwert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Qualitätssicherungs-Checkliste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Vor Abschluss der Berechnung prüfen:</w:t>
      </w:r>
    </w:p>
    <w:p>
      <w:pPr>
        <w:spacing w:after="40"/>
      </w:pPr>
    </w:p>
    <w:p>
      <w:pPr>
        <w:spacing w:after="40"/>
        <w:ind w:left="227"/>
      </w:pPr>
      <w:r>
        <w:rPr>
          <w:rFonts w:ascii="Georgia" w:hAnsi="Georgia"/>
          <w:sz w:val="19"/>
        </w:rPr>
        <w:t>☐ Alle wesentlichen Lebensmittelkategorien (&gt;100 kg/Jahr) sind erfasst</w:t>
      </w:r>
    </w:p>
    <w:p>
      <w:pPr>
        <w:spacing w:after="40"/>
        <w:ind w:left="227"/>
      </w:pPr>
      <w:r>
        <w:rPr>
          <w:rFonts w:ascii="Georgia" w:hAnsi="Georgia"/>
          <w:sz w:val="19"/>
        </w:rPr>
        <w:t>☐ Emissionsfaktoren sind aus anerkannten Quellen (Agroscope, UBA, BAFU, Ecoinvent)</w:t>
      </w:r>
    </w:p>
    <w:p>
      <w:pPr>
        <w:spacing w:after="40"/>
        <w:ind w:left="227"/>
      </w:pPr>
      <w:r>
        <w:rPr>
          <w:rFonts w:ascii="Georgia" w:hAnsi="Georgia"/>
          <w:sz w:val="19"/>
        </w:rPr>
        <w:t>☐ Emissionsfaktoren sind nicht älter als 3 Jahre *[V — jährlich aktualisieren]*</w:t>
      </w:r>
    </w:p>
    <w:p>
      <w:pPr>
        <w:spacing w:after="40"/>
        <w:ind w:left="227"/>
      </w:pPr>
      <w:r>
        <w:rPr>
          <w:rFonts w:ascii="Georgia" w:hAnsi="Georgia"/>
          <w:sz w:val="19"/>
        </w:rPr>
        <w:t>☐ Aktivitätsdaten stammen aus dem tatsächlichen Wareneinkauf (Buchhaltung oder Warenwirtschaft)</w:t>
      </w:r>
    </w:p>
    <w:p>
      <w:pPr>
        <w:spacing w:after="40"/>
        <w:ind w:left="227"/>
      </w:pPr>
      <w:r>
        <w:rPr>
          <w:rFonts w:ascii="Georgia" w:hAnsi="Georgia"/>
          <w:sz w:val="19"/>
        </w:rPr>
        <w:t>☐ Datenqualitätsstufe ist für jede Zeile dokumentiert</w:t>
      </w:r>
    </w:p>
    <w:p>
      <w:pPr>
        <w:spacing w:after="40"/>
        <w:ind w:left="227"/>
      </w:pPr>
      <w:r>
        <w:rPr>
          <w:rFonts w:ascii="Georgia" w:hAnsi="Georgia"/>
          <w:sz w:val="19"/>
        </w:rPr>
        <w:t>☐ Spend-based-Kategorien sind klar als solche markiert (Unsicherheit ±50–100%)</w:t>
      </w:r>
    </w:p>
    <w:p>
      <w:pPr>
        <w:spacing w:after="40"/>
        <w:ind w:left="227"/>
      </w:pPr>
      <w:r>
        <w:rPr>
          <w:rFonts w:ascii="Georgia" w:hAnsi="Georgia"/>
          <w:sz w:val="19"/>
        </w:rPr>
        <w:t>☐ Basisjahr ist konsistent mit Scope 1+2-Inventar</w:t>
      </w:r>
    </w:p>
    <w:p>
      <w:pPr>
        <w:spacing w:after="40"/>
        <w:ind w:left="227"/>
      </w:pPr>
      <w:r>
        <w:rPr>
          <w:rFonts w:ascii="Georgia" w:hAnsi="Georgia"/>
          <w:sz w:val="19"/>
        </w:rPr>
        <w:t>☐ Dokument ist datiert und verantwortliche Person ist benannt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Dokument erstellt von Francesco Dore — buecher.effedore.com</w:t>
      </w:r>
      <w:r>
        <w:rPr>
          <w:rFonts w:ascii="Georgia" w:hAnsi="Georgia"/>
          <w:sz w:val="19"/>
        </w:rPr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Schriftenreihe „Das Steuer und die Lupe" — ISO 14001:2026 — Umweltmanagementsysteme für das Gastgewerbe DACH</w:t>
      </w:r>
      <w:r>
        <w:rPr>
          <w:rFonts w:ascii="Georgia" w:hAnsi="Georgia"/>
          <w:sz w:val="19"/>
        </w:rPr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Georgia" w:hAnsi="Georgia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