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DB9AC" w14:textId="77777777" w:rsidR="00E01C24" w:rsidRDefault="00000000">
      <w:pPr>
        <w:spacing w:before="320" w:after="120"/>
      </w:pPr>
      <w:r>
        <w:rPr>
          <w:b/>
          <w:color w:val="1A1A2E"/>
          <w:sz w:val="26"/>
        </w:rPr>
        <w:t>ONLINE-PLATTFORM — buecher.effedore.com</w:t>
      </w:r>
    </w:p>
    <w:p w14:paraId="72E8D64B" w14:textId="77777777" w:rsidR="00E01C24" w:rsidRDefault="00E01C24">
      <w:pPr>
        <w:spacing w:after="40"/>
      </w:pPr>
    </w:p>
    <w:p w14:paraId="69720124" w14:textId="77777777" w:rsidR="00E01C24" w:rsidRDefault="00000000">
      <w:pPr>
        <w:spacing w:before="320" w:after="120"/>
      </w:pPr>
      <w:r>
        <w:rPr>
          <w:b/>
          <w:color w:val="1A1A2E"/>
          <w:sz w:val="26"/>
        </w:rPr>
        <w:t>Material zu Unterkapitel 1.10</w:t>
      </w:r>
    </w:p>
    <w:p w14:paraId="55A2B2B2" w14:textId="77777777" w:rsidR="00E01C24" w:rsidRDefault="00E01C24">
      <w:pPr>
        <w:spacing w:after="40"/>
      </w:pPr>
    </w:p>
    <w:p w14:paraId="5DAE30BA" w14:textId="77777777" w:rsidR="00E01C24" w:rsidRDefault="00000000">
      <w:pPr>
        <w:spacing w:before="160" w:after="160"/>
      </w:pPr>
      <w:r>
        <w:rPr>
          <w:color w:val="CCCCCC"/>
          <w:sz w:val="14"/>
        </w:rPr>
        <w:t>────────────────────────────────────────────────────────────────────────────────</w:t>
      </w:r>
    </w:p>
    <w:p w14:paraId="7E903625" w14:textId="77777777" w:rsidR="00E01C24" w:rsidRDefault="00E01C24">
      <w:pPr>
        <w:spacing w:after="40"/>
      </w:pPr>
    </w:p>
    <w:p w14:paraId="7D7A1CD4" w14:textId="77777777" w:rsidR="00E01C24" w:rsidRDefault="00000000">
      <w:pPr>
        <w:spacing w:before="320" w:after="120"/>
      </w:pPr>
      <w:r>
        <w:rPr>
          <w:b/>
          <w:color w:val="1A1A2E"/>
          <w:sz w:val="26"/>
        </w:rPr>
        <w:t>Dokumentierte Fallsammlung: Sanktionen und Anfechtungen für Greenwashing im europäischen Gastgewerbesektor</w:t>
      </w:r>
    </w:p>
    <w:p w14:paraId="50B0E6BA" w14:textId="77777777" w:rsidR="00E01C24" w:rsidRDefault="00E01C24">
      <w:pPr>
        <w:spacing w:after="40"/>
      </w:pPr>
    </w:p>
    <w:p w14:paraId="2D905533" w14:textId="77777777" w:rsidR="00E01C24" w:rsidRDefault="00000000">
      <w:pPr>
        <w:spacing w:before="240"/>
      </w:pPr>
      <w:r>
        <w:rPr>
          <w:b/>
          <w:color w:val="2C3E50"/>
          <w:sz w:val="22"/>
        </w:rPr>
        <w:t>*Rechtlicher Referenzrahmen, dokumentierte Fälle und operative Schutzleitfaden für DACH-Hotels*</w:t>
      </w:r>
    </w:p>
    <w:p w14:paraId="15214106" w14:textId="77777777" w:rsidR="00E01C24" w:rsidRDefault="00E01C24">
      <w:pPr>
        <w:spacing w:after="40"/>
      </w:pPr>
    </w:p>
    <w:p w14:paraId="37C83F33" w14:textId="77777777" w:rsidR="00E01C24" w:rsidRDefault="00000000">
      <w:r>
        <w:rPr>
          <w:b/>
        </w:rPr>
        <w:t>Dokumentversion:</w:t>
      </w:r>
      <w:r>
        <w:t xml:space="preserve"> 1.0 — </w:t>
      </w:r>
      <w:r>
        <w:rPr>
          <w:i/>
        </w:rPr>
        <w:t>Aktualisiert zum [Datum der Plattformveröffentlichung]</w:t>
      </w:r>
    </w:p>
    <w:p w14:paraId="182D4DF6" w14:textId="77777777" w:rsidR="00E01C24" w:rsidRDefault="00000000">
      <w:r>
        <w:rPr>
          <w:b/>
        </w:rPr>
        <w:t>Geplante Aktualisierung:</w:t>
      </w:r>
      <w:r>
        <w:t xml:space="preserve"> Halbjährlich — Greenwashing-Rechtsentwicklung ist dynamisch</w:t>
      </w:r>
    </w:p>
    <w:p w14:paraId="1D14A651" w14:textId="77777777" w:rsidR="00E01C24" w:rsidRDefault="00000000">
      <w:r>
        <w:rPr>
          <w:b/>
        </w:rPr>
        <w:t>Rechtlicher Hinweis:</w:t>
      </w:r>
      <w:r>
        <w:t xml:space="preserve"> Dieses Dokument dient der Information und Sensibilisierung. Es ersetzt keine Rechtsberatung. Bei konkreten Rechtsfragen ist ein auf Wettbewerbs- und Umweltrecht spezialisierter Anwalt hinzuzuziehen.</w:t>
      </w:r>
    </w:p>
    <w:p w14:paraId="3C3D43FF" w14:textId="77777777" w:rsidR="00E01C24" w:rsidRDefault="00E01C24">
      <w:pPr>
        <w:spacing w:after="40"/>
      </w:pPr>
    </w:p>
    <w:p w14:paraId="15666DEC" w14:textId="77777777" w:rsidR="00E01C24" w:rsidRDefault="00000000">
      <w:pPr>
        <w:spacing w:before="160" w:after="160"/>
      </w:pPr>
      <w:r>
        <w:rPr>
          <w:color w:val="CCCCCC"/>
          <w:sz w:val="14"/>
        </w:rPr>
        <w:t>────────────────────────────────────────────────────────────────────────────────</w:t>
      </w:r>
    </w:p>
    <w:p w14:paraId="1593B9DF" w14:textId="77777777" w:rsidR="00E01C24" w:rsidRDefault="00E01C24">
      <w:pPr>
        <w:spacing w:after="40"/>
      </w:pPr>
    </w:p>
    <w:p w14:paraId="5F4E7042" w14:textId="77777777" w:rsidR="00E01C24" w:rsidRDefault="00000000">
      <w:pPr>
        <w:spacing w:before="200" w:after="60"/>
      </w:pPr>
      <w:r>
        <w:rPr>
          <w:b/>
          <w:color w:val="445A6F"/>
          <w:sz w:val="21"/>
        </w:rPr>
        <w:t>Vorbemerkung: Warum diese Fallsammlung</w:t>
      </w:r>
    </w:p>
    <w:p w14:paraId="5F35826B" w14:textId="77777777" w:rsidR="00E01C24" w:rsidRDefault="00E01C24">
      <w:pPr>
        <w:spacing w:after="40"/>
      </w:pPr>
    </w:p>
    <w:p w14:paraId="22D93909" w14:textId="77777777" w:rsidR="00E01C24" w:rsidRDefault="00000000">
      <w:r>
        <w:t>Greenwashing-Sanktionen im Gastgewerbesektor sind kein theoretisches Risiko mehr. Die Kombination aus verschärftem EU-Regulierungsrahmen (Richtlinie 2024/825/EU), aktiven nationalen Durchsetzungsbehörden (Wettbewerbszentrale DE, Vzbv, CMA UK) und zunehmend informierten Corporate-Kunden hat das Sanktionsrisiko für nicht substanziierte Nachhaltigkeitskommunikation signifikant erhöht.</w:t>
      </w:r>
    </w:p>
    <w:p w14:paraId="026DD2E8" w14:textId="77777777" w:rsidR="00E01C24" w:rsidRDefault="00E01C24">
      <w:pPr>
        <w:spacing w:after="40"/>
      </w:pPr>
    </w:p>
    <w:p w14:paraId="4A40D071" w14:textId="77777777" w:rsidR="00E01C24" w:rsidRDefault="00000000">
      <w:r>
        <w:t>Diese Fallsammlung verfolgt drei Ziele:</w:t>
      </w:r>
    </w:p>
    <w:p w14:paraId="338967CE" w14:textId="77777777" w:rsidR="00E01C24" w:rsidRDefault="00E01C24">
      <w:pPr>
        <w:spacing w:after="40"/>
      </w:pPr>
    </w:p>
    <w:p w14:paraId="396011C5" w14:textId="77777777" w:rsidR="00E01C24" w:rsidRDefault="00000000">
      <w:r>
        <w:rPr>
          <w:b/>
        </w:rPr>
        <w:t>Erstens:</w:t>
      </w:r>
      <w:r>
        <w:t xml:space="preserve"> DACH-Hoteleigentümerschaften mit konkreten Beispielen sensibilisieren — Greenwashing-Risiken werden durch dokumentierte Fälle greifbar.</w:t>
      </w:r>
    </w:p>
    <w:p w14:paraId="3596746E" w14:textId="77777777" w:rsidR="00E01C24" w:rsidRDefault="00E01C24">
      <w:pPr>
        <w:spacing w:after="40"/>
      </w:pPr>
    </w:p>
    <w:p w14:paraId="67FD6CD6" w14:textId="77777777" w:rsidR="00E01C24" w:rsidRDefault="00000000">
      <w:r>
        <w:rPr>
          <w:b/>
        </w:rPr>
        <w:t>Zweitens:</w:t>
      </w:r>
      <w:r>
        <w:t xml:space="preserve"> Muster und Typologien identifizieren — die meisten Greenwashing-Verstöße im Gastgewerbe folgen wiederkehrenden Mustern, die vermeidbar sind.</w:t>
      </w:r>
    </w:p>
    <w:p w14:paraId="00453586" w14:textId="77777777" w:rsidR="00E01C24" w:rsidRDefault="00E01C24">
      <w:pPr>
        <w:spacing w:after="40"/>
      </w:pPr>
    </w:p>
    <w:p w14:paraId="7A22F8BE" w14:textId="77777777" w:rsidR="00E01C24" w:rsidRDefault="00000000">
      <w:r>
        <w:rPr>
          <w:b/>
        </w:rPr>
        <w:lastRenderedPageBreak/>
        <w:t>Drittens:</w:t>
      </w:r>
      <w:r>
        <w:t xml:space="preserve"> Den präventiven Wert des ISO-14001:2026-Systems demonstrieren — ein korrekt implementiertes System produziert strukturell greenwashing-resistente Kommunikation.</w:t>
      </w:r>
    </w:p>
    <w:p w14:paraId="2AAD9187" w14:textId="77777777" w:rsidR="00E01C24" w:rsidRDefault="00E01C24">
      <w:pPr>
        <w:spacing w:after="40"/>
      </w:pPr>
    </w:p>
    <w:p w14:paraId="5FB4BDAF" w14:textId="77777777" w:rsidR="00E01C24" w:rsidRDefault="00000000">
      <w:pPr>
        <w:spacing w:before="160" w:after="160"/>
      </w:pPr>
      <w:r>
        <w:rPr>
          <w:color w:val="CCCCCC"/>
          <w:sz w:val="14"/>
        </w:rPr>
        <w:t>────────────────────────────────────────────────────────────────────────────────</w:t>
      </w:r>
    </w:p>
    <w:p w14:paraId="33DDD404" w14:textId="77777777" w:rsidR="00E01C24" w:rsidRDefault="00E01C24">
      <w:pPr>
        <w:spacing w:after="40"/>
      </w:pPr>
    </w:p>
    <w:p w14:paraId="601B7771" w14:textId="77777777" w:rsidR="00E01C24" w:rsidRDefault="00000000">
      <w:pPr>
        <w:spacing w:before="200" w:after="60"/>
      </w:pPr>
      <w:r>
        <w:rPr>
          <w:b/>
          <w:color w:val="445A6F"/>
          <w:sz w:val="21"/>
        </w:rPr>
        <w:t>Abschnitt 1 — Rechtlicher Rahmen DACH</w:t>
      </w:r>
    </w:p>
    <w:p w14:paraId="18C209A9" w14:textId="77777777" w:rsidR="00E01C24" w:rsidRDefault="00E01C24">
      <w:pPr>
        <w:spacing w:after="40"/>
      </w:pPr>
    </w:p>
    <w:p w14:paraId="66F9698A" w14:textId="77777777" w:rsidR="00E01C24" w:rsidRDefault="00000000">
      <w:pPr>
        <w:spacing w:before="160" w:after="40"/>
      </w:pPr>
      <w:r>
        <w:rPr>
          <w:b/>
          <w:color w:val="5D6D7E"/>
        </w:rPr>
        <w:t>1.1 — EU-Ebene: Richtlinie 2024/825/EU (Empowering Consumers)</w:t>
      </w:r>
    </w:p>
    <w:p w14:paraId="0952C879" w14:textId="77777777" w:rsidR="00E01C24" w:rsidRDefault="00E01C24">
      <w:pPr>
        <w:spacing w:after="40"/>
      </w:pPr>
    </w:p>
    <w:p w14:paraId="47E18EAB" w14:textId="77777777" w:rsidR="00E01C24" w:rsidRDefault="00000000">
      <w:r>
        <w:t>Die Richtlinie 2024/825/EU — verabschiedet im Februar 2024, Umsetzungsfrist für Mitgliedstaaten bis März 2026 — ist die wichtigste normative Entwicklung im Bereich Greenwashing-Prävention. Sie ändert die Richtlinie über unlautere Geschäftspraktiken (2005/29/EG) und die Verbraucherrechterichtlinie (2011/83/EU).</w:t>
      </w:r>
    </w:p>
    <w:p w14:paraId="332AFF41" w14:textId="77777777" w:rsidR="00E01C24" w:rsidRDefault="00E01C24">
      <w:pPr>
        <w:spacing w:after="40"/>
      </w:pPr>
    </w:p>
    <w:p w14:paraId="138F1EE2" w14:textId="77777777" w:rsidR="00E01C24" w:rsidRDefault="00000000">
      <w:pPr>
        <w:spacing w:before="160" w:after="40"/>
      </w:pPr>
      <w:r>
        <w:rPr>
          <w:b/>
          <w:color w:val="2C3E50"/>
          <w:sz w:val="21"/>
        </w:rPr>
        <w:t>Wesentliche Verbote ab Umsetzung:</w:t>
      </w:r>
    </w:p>
    <w:p w14:paraId="74A07567" w14:textId="77777777" w:rsidR="00E01C24" w:rsidRDefault="00000000">
      <w:pPr>
        <w:pStyle w:val="Puntoelenco"/>
        <w:spacing w:after="40"/>
      </w:pPr>
      <w:r>
        <w:rPr>
          <w:sz w:val="19"/>
        </w:rPr>
        <w:t>Generische Umweltaussagen ohne nachgewiesene anerkannte hervorragende Umweltleistung: verboten (z.B. „umweltfreundlich", „grün", „natürlich" ohne Nachweis)</w:t>
      </w:r>
    </w:p>
    <w:p w14:paraId="4AC4DE30" w14:textId="77777777" w:rsidR="00E01C24" w:rsidRDefault="00000000">
      <w:pPr>
        <w:pStyle w:val="Puntoelenco"/>
        <w:spacing w:after="40"/>
      </w:pPr>
      <w:r>
        <w:rPr>
          <w:sz w:val="19"/>
        </w:rPr>
        <w:t>Klimaneutralitätsbehauptungen, die ausschließlich auf Kompensationen basieren: verboten</w:t>
      </w:r>
    </w:p>
    <w:p w14:paraId="7D8CB552" w14:textId="77777777" w:rsidR="00E01C24" w:rsidRDefault="00000000">
      <w:pPr>
        <w:pStyle w:val="Puntoelenco"/>
        <w:spacing w:after="40"/>
      </w:pPr>
      <w:r>
        <w:rPr>
          <w:sz w:val="19"/>
        </w:rPr>
        <w:t>Nicht verifizierte Nachhaltigkeitssiegel ohne akkreditierte Drittpartei-Zertifizierung: verboten</w:t>
      </w:r>
    </w:p>
    <w:p w14:paraId="1A14FB7C" w14:textId="77777777" w:rsidR="00E01C24" w:rsidRDefault="00000000">
      <w:pPr>
        <w:pStyle w:val="Puntoelenco"/>
        <w:spacing w:after="40"/>
      </w:pPr>
      <w:r>
        <w:rPr>
          <w:sz w:val="19"/>
        </w:rPr>
        <w:t>Selektive Hervorhebung einzelner positiver Umwelteigenschaften bei gleichzeitigem Verschweigen wesentlicher negativer Aspekte: verboten</w:t>
      </w:r>
    </w:p>
    <w:p w14:paraId="32007EB8" w14:textId="77777777" w:rsidR="00E01C24" w:rsidRDefault="00E01C24">
      <w:pPr>
        <w:spacing w:after="40"/>
      </w:pPr>
    </w:p>
    <w:p w14:paraId="580A14EF" w14:textId="77777777" w:rsidR="00E01C24" w:rsidRDefault="00000000">
      <w:r>
        <w:rPr>
          <w:b/>
        </w:rPr>
        <w:t>Sanktionsrahmen:</w:t>
      </w:r>
      <w:r>
        <w:t xml:space="preserve"> Die Richtlinie verpflichtet Mitgliedstaaten zu wirksamen, verhältnismäßigen und abschreckenden Sanktionen — mit Bußgeldern von mindestens 4% des Jahresumsatzes im betreffenden Mitgliedstaat (für grenzüberschreitende Verstöße).</w:t>
      </w:r>
    </w:p>
    <w:p w14:paraId="15D20897" w14:textId="77777777" w:rsidR="00E01C24" w:rsidRDefault="00E01C24">
      <w:pPr>
        <w:spacing w:after="40"/>
      </w:pPr>
    </w:p>
    <w:p w14:paraId="35A054AF" w14:textId="77777777" w:rsidR="00E01C24" w:rsidRDefault="00000000">
      <w:r>
        <w:rPr>
          <w:i/>
        </w:rPr>
        <w:t>[V — nationale Umsetzungsgesetze DE/AT nach Ablauf der Umsetzungsfrist März 2026 verifizieren auf: bmj.de und parlament.gv.at]</w:t>
      </w:r>
    </w:p>
    <w:p w14:paraId="62DD9085" w14:textId="77777777" w:rsidR="00E01C24" w:rsidRDefault="00E01C24">
      <w:pPr>
        <w:spacing w:after="40"/>
      </w:pPr>
    </w:p>
    <w:p w14:paraId="68FE1B13" w14:textId="77777777" w:rsidR="00E01C24" w:rsidRDefault="00000000">
      <w:pPr>
        <w:spacing w:before="160" w:after="40"/>
      </w:pPr>
      <w:r>
        <w:rPr>
          <w:b/>
          <w:color w:val="5D6D7E"/>
        </w:rPr>
        <w:t>1.2 — Deutschland: UWG und Wettbewerbszentrale</w:t>
      </w:r>
    </w:p>
    <w:p w14:paraId="7761A328" w14:textId="77777777" w:rsidR="00E01C24" w:rsidRDefault="00E01C24">
      <w:pPr>
        <w:spacing w:after="40"/>
      </w:pPr>
    </w:p>
    <w:p w14:paraId="77BD2E03" w14:textId="77777777" w:rsidR="00E01C24" w:rsidRDefault="00000000">
      <w:r>
        <w:t>Das Gesetz gegen unlauteren Wettbewerb (UWG) ist die primäre Rechtsgrundlage für Greenwashing-Abmahnungen in Deutschland. Relevante Tatbestände:</w:t>
      </w:r>
    </w:p>
    <w:p w14:paraId="2F9B2C4A" w14:textId="77777777" w:rsidR="00E01C24" w:rsidRDefault="00E01C24">
      <w:pPr>
        <w:spacing w:after="40"/>
      </w:pPr>
    </w:p>
    <w:p w14:paraId="6EFEEED1" w14:textId="77777777" w:rsidR="00E01C24" w:rsidRDefault="00000000">
      <w:pPr>
        <w:spacing w:before="160" w:after="40"/>
      </w:pPr>
      <w:r>
        <w:rPr>
          <w:b/>
          <w:color w:val="2C3E50"/>
          <w:sz w:val="21"/>
        </w:rPr>
        <w:t>§5 UWG — Irreführende geschäftliche Handlungen:</w:t>
      </w:r>
    </w:p>
    <w:p w14:paraId="451CC342" w14:textId="77777777" w:rsidR="00E01C24" w:rsidRDefault="00000000">
      <w:r>
        <w:t>Irreführende Angaben über Umwelteigenschaften von Dienstleistungen, wenn diese geeignet sind, die geschäftliche Entscheidung des Verbrauchers zu beeinflussen. Klimaneutralitätsbehauptungen ohne transparente Methodenoffenlegung wurden durch mehrere Gerichte als irreführend eingestuft.</w:t>
      </w:r>
    </w:p>
    <w:p w14:paraId="7B7B9436" w14:textId="77777777" w:rsidR="00E01C24" w:rsidRDefault="00E01C24">
      <w:pPr>
        <w:spacing w:after="40"/>
      </w:pPr>
    </w:p>
    <w:p w14:paraId="4EF1E8A2" w14:textId="77777777" w:rsidR="00E01C24" w:rsidRDefault="00000000">
      <w:pPr>
        <w:spacing w:before="160" w:after="40"/>
      </w:pPr>
      <w:r>
        <w:rPr>
          <w:b/>
          <w:color w:val="2C3E50"/>
          <w:sz w:val="21"/>
        </w:rPr>
        <w:t>§5a UWG — Irreführung durch Unterlassen:</w:t>
      </w:r>
    </w:p>
    <w:p w14:paraId="317662FF" w14:textId="77777777" w:rsidR="00E01C24" w:rsidRDefault="00000000">
      <w:r>
        <w:t>Verschweigen wesentlicher Informationen — z.B. dass eine „Klimaneutralität" ausschließlich durch Offset-Zertifikate und nicht durch Emissionsreduktionen erreicht wird.</w:t>
      </w:r>
    </w:p>
    <w:p w14:paraId="25C0A9CE" w14:textId="77777777" w:rsidR="00E01C24" w:rsidRDefault="00E01C24">
      <w:pPr>
        <w:spacing w:after="40"/>
      </w:pPr>
    </w:p>
    <w:p w14:paraId="6B3EFD27" w14:textId="77777777" w:rsidR="00E01C24" w:rsidRDefault="00000000">
      <w:pPr>
        <w:spacing w:before="160" w:after="40"/>
      </w:pPr>
      <w:r>
        <w:rPr>
          <w:b/>
          <w:color w:val="2C3E50"/>
          <w:sz w:val="21"/>
        </w:rPr>
        <w:t>Durchsetzungsakteure:</w:t>
      </w:r>
    </w:p>
    <w:p w14:paraId="6A82BFA5" w14:textId="77777777" w:rsidR="00E01C24" w:rsidRDefault="00000000">
      <w:pPr>
        <w:pStyle w:val="Puntoelenco"/>
        <w:spacing w:after="40"/>
      </w:pPr>
      <w:r>
        <w:rPr>
          <w:b/>
          <w:sz w:val="19"/>
        </w:rPr>
        <w:t>Wettbewerbszentrale:</w:t>
      </w:r>
      <w:r>
        <w:rPr>
          <w:sz w:val="19"/>
        </w:rPr>
        <w:t xml:space="preserve"> Selbstkontrollorgan der Wirtschaft mit Abmahnbefugnis — hat in den letzten Jahren mehrere Greenwashing-Abmahnungen im Bereich Tourismus und Gastronomie ausgesprochen</w:t>
      </w:r>
    </w:p>
    <w:p w14:paraId="34FF0E29" w14:textId="77777777" w:rsidR="00E01C24" w:rsidRDefault="00000000">
      <w:pPr>
        <w:pStyle w:val="Puntoelenco"/>
        <w:spacing w:after="40"/>
      </w:pPr>
      <w:r>
        <w:rPr>
          <w:b/>
          <w:sz w:val="19"/>
        </w:rPr>
        <w:t>Vzbv (Verbraucherzentrale Bundesverband):</w:t>
      </w:r>
      <w:r>
        <w:rPr>
          <w:sz w:val="19"/>
        </w:rPr>
        <w:t xml:space="preserve"> Aktivlegitimation für Verbandsklagen bei Verbraucherrechtsverstößen — aktiv im Bereich Greenwashing</w:t>
      </w:r>
    </w:p>
    <w:p w14:paraId="37CEFFFB" w14:textId="77777777" w:rsidR="00E01C24" w:rsidRDefault="00000000">
      <w:pPr>
        <w:pStyle w:val="Puntoelenco"/>
        <w:spacing w:after="40"/>
      </w:pPr>
      <w:r>
        <w:rPr>
          <w:b/>
          <w:sz w:val="19"/>
        </w:rPr>
        <w:t>Wettbewerbsmitbewerber:</w:t>
      </w:r>
      <w:r>
        <w:rPr>
          <w:sz w:val="19"/>
        </w:rPr>
        <w:t xml:space="preserve"> Direkte Abmahnbefugnis nach UWG — relevant wenn ein zertifizierter Hotelbetrieb gegen einen nicht-zertifizierten Wettbewerber vorgeht</w:t>
      </w:r>
    </w:p>
    <w:p w14:paraId="1B3F05CB" w14:textId="77777777" w:rsidR="00E01C24" w:rsidRDefault="00E01C24">
      <w:pPr>
        <w:spacing w:after="40"/>
      </w:pPr>
    </w:p>
    <w:p w14:paraId="5BCE0CC5" w14:textId="77777777" w:rsidR="00E01C24" w:rsidRDefault="00000000">
      <w:pPr>
        <w:spacing w:before="160" w:after="40"/>
      </w:pPr>
      <w:r>
        <w:rPr>
          <w:b/>
          <w:color w:val="5D6D7E"/>
        </w:rPr>
        <w:t>1.3 — Österreich: UWG AT und KSchG</w:t>
      </w:r>
    </w:p>
    <w:p w14:paraId="0ACCBB1C" w14:textId="77777777" w:rsidR="00E01C24" w:rsidRDefault="00E01C24">
      <w:pPr>
        <w:spacing w:after="40"/>
      </w:pPr>
    </w:p>
    <w:p w14:paraId="6B32D6F8" w14:textId="77777777" w:rsidR="00E01C24" w:rsidRDefault="00000000">
      <w:r>
        <w:t>Das österreichische Bundesgesetz gegen den unlauteren Wettbewerb (UWG AT) folgt strukturell dem deutschen Modell. Zusätzlich relevante Grundlage: Konsumentenschutzgesetz (KSchG) bei B2C-Kommunikation.</w:t>
      </w:r>
    </w:p>
    <w:p w14:paraId="186DD1F8" w14:textId="77777777" w:rsidR="00E01C24" w:rsidRDefault="00E01C24">
      <w:pPr>
        <w:spacing w:after="40"/>
      </w:pPr>
    </w:p>
    <w:p w14:paraId="481CE3E5" w14:textId="77777777" w:rsidR="00E01C24" w:rsidRDefault="00000000">
      <w:pPr>
        <w:spacing w:before="160" w:after="40"/>
      </w:pPr>
      <w:r>
        <w:rPr>
          <w:b/>
          <w:color w:val="2C3E50"/>
          <w:sz w:val="21"/>
        </w:rPr>
        <w:t>Durchsetzungsakteure:</w:t>
      </w:r>
    </w:p>
    <w:p w14:paraId="175FA900" w14:textId="77777777" w:rsidR="00E01C24" w:rsidRDefault="00000000">
      <w:pPr>
        <w:pStyle w:val="Puntoelenco"/>
        <w:spacing w:after="40"/>
      </w:pPr>
      <w:r>
        <w:rPr>
          <w:b/>
          <w:sz w:val="19"/>
        </w:rPr>
        <w:t>Wirtschaftskammer Österreich (WKO):</w:t>
      </w:r>
      <w:r>
        <w:rPr>
          <w:sz w:val="19"/>
        </w:rPr>
        <w:t xml:space="preserve"> Abmahnbefugnis für Mitbewerber-Verstöße</w:t>
      </w:r>
    </w:p>
    <w:p w14:paraId="4BE3328D" w14:textId="77777777" w:rsidR="00E01C24" w:rsidRDefault="00000000">
      <w:pPr>
        <w:pStyle w:val="Puntoelenco"/>
        <w:spacing w:after="40"/>
      </w:pPr>
      <w:r>
        <w:rPr>
          <w:b/>
          <w:sz w:val="19"/>
        </w:rPr>
        <w:t>Bundesarbeitskammer (AK):</w:t>
      </w:r>
      <w:r>
        <w:rPr>
          <w:sz w:val="19"/>
        </w:rPr>
        <w:t xml:space="preserve"> Verbandsklagerecht bei Verbraucherrechtsverstößen</w:t>
      </w:r>
    </w:p>
    <w:p w14:paraId="661724FC" w14:textId="77777777" w:rsidR="00E01C24" w:rsidRDefault="00000000">
      <w:pPr>
        <w:pStyle w:val="Puntoelenco"/>
        <w:spacing w:after="40"/>
      </w:pPr>
      <w:r>
        <w:rPr>
          <w:b/>
          <w:sz w:val="19"/>
        </w:rPr>
        <w:t>VKI (Verein für Konsumenteninformation):</w:t>
      </w:r>
      <w:r>
        <w:rPr>
          <w:sz w:val="19"/>
        </w:rPr>
        <w:t xml:space="preserve"> Aktivlegitimation für Verbandsklagen</w:t>
      </w:r>
    </w:p>
    <w:p w14:paraId="20F2C89E" w14:textId="77777777" w:rsidR="00E01C24" w:rsidRDefault="00E01C24">
      <w:pPr>
        <w:spacing w:after="40"/>
      </w:pPr>
    </w:p>
    <w:p w14:paraId="1D070C8C" w14:textId="77777777" w:rsidR="00E01C24" w:rsidRDefault="00000000">
      <w:r>
        <w:rPr>
          <w:i/>
        </w:rPr>
        <w:t>[V — ÖKO-Kaufrechtsrichtlinie 2024 und nationale Greenwashing-Gesetzgebung auf aktuellen Stand prüfen: oesterreich.gv.at]</w:t>
      </w:r>
    </w:p>
    <w:p w14:paraId="327924B6" w14:textId="77777777" w:rsidR="00E01C24" w:rsidRDefault="00E01C24">
      <w:pPr>
        <w:spacing w:after="40"/>
      </w:pPr>
    </w:p>
    <w:p w14:paraId="6C822964" w14:textId="77777777" w:rsidR="00E01C24" w:rsidRDefault="00000000">
      <w:pPr>
        <w:spacing w:before="160" w:after="40"/>
      </w:pPr>
      <w:r>
        <w:rPr>
          <w:b/>
          <w:color w:val="5D6D7E"/>
        </w:rPr>
        <w:t>1.4 — Schweiz: UWG CH und lauterkeitsrechtliche Grundsätze</w:t>
      </w:r>
    </w:p>
    <w:p w14:paraId="587AC1E9" w14:textId="77777777" w:rsidR="00E01C24" w:rsidRDefault="00E01C24">
      <w:pPr>
        <w:spacing w:after="40"/>
      </w:pPr>
    </w:p>
    <w:p w14:paraId="786DE6BA" w14:textId="77777777" w:rsidR="00E01C24" w:rsidRDefault="00000000">
      <w:r>
        <w:t>Das Bundesgesetz gegen den unlauteren Wettbewerb (UWG CH, SR 241) schützt vor irreführenden Geschäftspraktiken. Art. 3 lit. b UWG CH: Unlauter handelt, wer über sich, seine Waren, Werke, Leistungen oder ihre Preise falsche oder irreführende Angaben macht.</w:t>
      </w:r>
    </w:p>
    <w:p w14:paraId="2B395AAB" w14:textId="77777777" w:rsidR="00E01C24" w:rsidRDefault="00E01C24">
      <w:pPr>
        <w:spacing w:after="40"/>
      </w:pPr>
    </w:p>
    <w:p w14:paraId="52581794" w14:textId="77777777" w:rsidR="00E01C24" w:rsidRDefault="00000000">
      <w:r>
        <w:rPr>
          <w:b/>
        </w:rPr>
        <w:t>Besonderheit Schweiz:</w:t>
      </w:r>
      <w:r>
        <w:t xml:space="preserve"> Die Schweiz ist nicht an EU-Richtlinien gebunden, hat aber durch das Parallelprinzip ähnliche lauterkeitsrechtliche Standards entwickelt. FINMA und SIF (Staatssekretariat für internationale Finanzfragen) haben zudem spezifische Guidance zu ESG-Greenwashing im Finanzbereich veröffentlicht, die indirekt auch auf Unternehmenskommunikation ausstrahlt.</w:t>
      </w:r>
    </w:p>
    <w:p w14:paraId="188D7138" w14:textId="77777777" w:rsidR="00E01C24" w:rsidRDefault="00E01C24">
      <w:pPr>
        <w:spacing w:after="40"/>
      </w:pPr>
    </w:p>
    <w:p w14:paraId="053D2CC4" w14:textId="77777777" w:rsidR="00E01C24" w:rsidRDefault="00000000">
      <w:pPr>
        <w:spacing w:before="160" w:after="40"/>
      </w:pPr>
      <w:r>
        <w:rPr>
          <w:b/>
          <w:color w:val="2C3E50"/>
          <w:sz w:val="21"/>
        </w:rPr>
        <w:t>Durchsetzungsakteure:</w:t>
      </w:r>
    </w:p>
    <w:p w14:paraId="16EB1041" w14:textId="77777777" w:rsidR="00E01C24" w:rsidRDefault="00000000">
      <w:pPr>
        <w:pStyle w:val="Puntoelenco"/>
        <w:spacing w:after="40"/>
      </w:pPr>
      <w:r>
        <w:rPr>
          <w:b/>
          <w:sz w:val="19"/>
        </w:rPr>
        <w:t>SECO (Staatssekretariat für Wirtschaft):</w:t>
      </w:r>
      <w:r>
        <w:rPr>
          <w:sz w:val="19"/>
        </w:rPr>
        <w:t xml:space="preserve"> Marktaufsicht bei unlauterem Wettbewerb</w:t>
      </w:r>
    </w:p>
    <w:p w14:paraId="52DB582B" w14:textId="77777777" w:rsidR="00E01C24" w:rsidRDefault="00000000">
      <w:pPr>
        <w:pStyle w:val="Puntoelenco"/>
        <w:spacing w:after="40"/>
      </w:pPr>
      <w:r>
        <w:rPr>
          <w:b/>
          <w:sz w:val="19"/>
        </w:rPr>
        <w:t>Wettbewerbskommission (WEKO):</w:t>
      </w:r>
      <w:r>
        <w:rPr>
          <w:sz w:val="19"/>
        </w:rPr>
        <w:t xml:space="preserve"> Bei wettbewerbsrechtlichen Dimensionen</w:t>
      </w:r>
    </w:p>
    <w:p w14:paraId="43D23932" w14:textId="77777777" w:rsidR="00E01C24" w:rsidRDefault="00000000">
      <w:pPr>
        <w:pStyle w:val="Puntoelenco"/>
        <w:spacing w:after="40"/>
      </w:pPr>
      <w:r>
        <w:rPr>
          <w:b/>
          <w:sz w:val="19"/>
        </w:rPr>
        <w:t>Wettbewerbsmitbewerber:</w:t>
      </w:r>
      <w:r>
        <w:rPr>
          <w:sz w:val="19"/>
        </w:rPr>
        <w:t xml:space="preserve"> Direktes Klagerecht nach UWG CH</w:t>
      </w:r>
    </w:p>
    <w:p w14:paraId="72E90941" w14:textId="77777777" w:rsidR="00E01C24" w:rsidRDefault="00E01C24">
      <w:pPr>
        <w:spacing w:after="40"/>
      </w:pPr>
    </w:p>
    <w:p w14:paraId="7114F780" w14:textId="77777777" w:rsidR="00E01C24" w:rsidRDefault="00000000">
      <w:pPr>
        <w:spacing w:before="160" w:after="160"/>
      </w:pPr>
      <w:r>
        <w:rPr>
          <w:color w:val="CCCCCC"/>
          <w:sz w:val="14"/>
        </w:rPr>
        <w:t>────────────────────────────────────────────────────────────────────────────────</w:t>
      </w:r>
    </w:p>
    <w:p w14:paraId="4C67D120" w14:textId="77777777" w:rsidR="00E01C24" w:rsidRDefault="00E01C24">
      <w:pPr>
        <w:spacing w:after="40"/>
      </w:pPr>
    </w:p>
    <w:p w14:paraId="45CE9A8E" w14:textId="77777777" w:rsidR="00E01C24" w:rsidRDefault="00000000">
      <w:pPr>
        <w:spacing w:before="200" w:after="60"/>
      </w:pPr>
      <w:r>
        <w:rPr>
          <w:b/>
          <w:color w:val="445A6F"/>
          <w:sz w:val="21"/>
        </w:rPr>
        <w:t>Abschnitt 2 — Dokumentierte Fälle im Gastgewerbe und Tourismus</w:t>
      </w:r>
    </w:p>
    <w:p w14:paraId="220C22F0" w14:textId="77777777" w:rsidR="00E01C24" w:rsidRDefault="00E01C24">
      <w:pPr>
        <w:spacing w:after="40"/>
      </w:pPr>
    </w:p>
    <w:p w14:paraId="46A51380" w14:textId="77777777" w:rsidR="00E01C24" w:rsidRDefault="00000000">
      <w:pPr>
        <w:spacing w:before="160" w:after="40"/>
      </w:pPr>
      <w:r>
        <w:rPr>
          <w:b/>
          <w:color w:val="5D6D7E"/>
        </w:rPr>
        <w:t>2.1 — Booking.com: Eco-Label-Untersuchung (UK CMA, 2022–2023)</w:t>
      </w:r>
    </w:p>
    <w:p w14:paraId="45E9E5D3" w14:textId="77777777" w:rsidR="00E01C24" w:rsidRDefault="00E01C24">
      <w:pPr>
        <w:spacing w:after="40"/>
      </w:pPr>
    </w:p>
    <w:p w14:paraId="39229EB4" w14:textId="77777777" w:rsidR="00E01C24" w:rsidRDefault="00000000">
      <w:r>
        <w:rPr>
          <w:b/>
        </w:rPr>
        <w:t>Fall-Typ:</w:t>
      </w:r>
      <w:r>
        <w:t xml:space="preserve"> Regulatorische Untersuchung (nicht Sanktion)</w:t>
      </w:r>
    </w:p>
    <w:p w14:paraId="002F2B13" w14:textId="77777777" w:rsidR="00E01C24" w:rsidRDefault="00000000">
      <w:r>
        <w:rPr>
          <w:b/>
        </w:rPr>
        <w:t>Behörde:</w:t>
      </w:r>
      <w:r>
        <w:t xml:space="preserve"> Competition and Markets Authority (CMA), Vereinigtes Königreich</w:t>
      </w:r>
    </w:p>
    <w:p w14:paraId="2C94168D" w14:textId="77777777" w:rsidR="00E01C24" w:rsidRDefault="00000000">
      <w:r>
        <w:rPr>
          <w:b/>
        </w:rPr>
        <w:t>Betroffenes Unternehmen:</w:t>
      </w:r>
      <w:r>
        <w:t xml:space="preserve"> Booking.com BV (Niederlande, EU-Plattform)</w:t>
      </w:r>
    </w:p>
    <w:p w14:paraId="4831DDDD" w14:textId="77777777" w:rsidR="00E01C24" w:rsidRDefault="00000000">
      <w:r>
        <w:rPr>
          <w:b/>
        </w:rPr>
        <w:t>Relevanz für DACH:</w:t>
      </w:r>
      <w:r>
        <w:t xml:space="preserve"> Sehr hoch — Booking.com ist eine der primären Vertriebsplattformen für DACH-Hotels</w:t>
      </w:r>
    </w:p>
    <w:p w14:paraId="3C1949D1" w14:textId="77777777" w:rsidR="00E01C24" w:rsidRDefault="00E01C24">
      <w:pPr>
        <w:spacing w:after="40"/>
      </w:pPr>
    </w:p>
    <w:p w14:paraId="3131AB4C" w14:textId="77777777" w:rsidR="00E01C24" w:rsidRDefault="00000000">
      <w:pPr>
        <w:spacing w:before="160" w:after="40"/>
      </w:pPr>
      <w:r>
        <w:rPr>
          <w:b/>
          <w:color w:val="2C3E50"/>
          <w:sz w:val="21"/>
        </w:rPr>
        <w:t>Sachverhalt:</w:t>
      </w:r>
    </w:p>
    <w:p w14:paraId="59854A51" w14:textId="77777777" w:rsidR="00E01C24" w:rsidRDefault="00000000">
      <w:r>
        <w:t>Die CMA leitete 2022 eine Untersuchung ein, nachdem Verbraucherschutzorganisationen und Medien kritisierten, dass die Nachhaltigkeitsfilter und Eco-Labels auf Booking.com irreführend seien. Konkrete Vorwürfe:</w:t>
      </w:r>
    </w:p>
    <w:p w14:paraId="6980D8BE" w14:textId="77777777" w:rsidR="00E01C24" w:rsidRDefault="00000000">
      <w:pPr>
        <w:pStyle w:val="Puntoelenco"/>
        <w:spacing w:after="40"/>
      </w:pPr>
      <w:r>
        <w:rPr>
          <w:sz w:val="19"/>
        </w:rPr>
        <w:t>Unklare Kriterien für die Vergabe von Nachhaltigkeits-Badges</w:t>
      </w:r>
    </w:p>
    <w:p w14:paraId="0F07F0A1" w14:textId="77777777" w:rsidR="00E01C24" w:rsidRDefault="00000000">
      <w:pPr>
        <w:pStyle w:val="Puntoelenco"/>
        <w:spacing w:after="40"/>
      </w:pPr>
      <w:r>
        <w:rPr>
          <w:sz w:val="19"/>
        </w:rPr>
        <w:t>Hotels konnten selbst erklären, nachhaltig zu sein, ohne externe Verifikation</w:t>
      </w:r>
    </w:p>
    <w:p w14:paraId="3EA710C7" w14:textId="77777777" w:rsidR="00E01C24" w:rsidRDefault="00000000">
      <w:pPr>
        <w:pStyle w:val="Puntoelenco"/>
        <w:spacing w:after="40"/>
      </w:pPr>
      <w:r>
        <w:rPr>
          <w:sz w:val="19"/>
        </w:rPr>
        <w:t>Verbraucher glaubten, die grünen Labels seien extern verifiziert</w:t>
      </w:r>
    </w:p>
    <w:p w14:paraId="2A3B764A" w14:textId="77777777" w:rsidR="00E01C24" w:rsidRDefault="00E01C24">
      <w:pPr>
        <w:spacing w:after="40"/>
      </w:pPr>
    </w:p>
    <w:p w14:paraId="4635C01C" w14:textId="77777777" w:rsidR="00E01C24" w:rsidRDefault="00000000">
      <w:pPr>
        <w:spacing w:before="160" w:after="40"/>
      </w:pPr>
      <w:r>
        <w:rPr>
          <w:b/>
          <w:color w:val="2C3E50"/>
          <w:sz w:val="21"/>
        </w:rPr>
        <w:t>Ergebnis:</w:t>
      </w:r>
    </w:p>
    <w:p w14:paraId="1717DA1A" w14:textId="77777777" w:rsidR="00E01C24" w:rsidRDefault="00000000">
      <w:r>
        <w:t>Booking.com sagte der CMA verbindliche Verbesserungen zu — ohne formelle Sanktion, aber mit öffentlicher Verpflichtungserklärung:</w:t>
      </w:r>
    </w:p>
    <w:p w14:paraId="0916C874" w14:textId="77777777" w:rsidR="00E01C24" w:rsidRDefault="00000000">
      <w:pPr>
        <w:pStyle w:val="Puntoelenco"/>
        <w:spacing w:after="40"/>
      </w:pPr>
      <w:r>
        <w:rPr>
          <w:sz w:val="19"/>
        </w:rPr>
        <w:t>Klarere Kommunikation der Kriterien für Nachhaltigkeits-Labels</w:t>
      </w:r>
    </w:p>
    <w:p w14:paraId="4A14B5AC" w14:textId="77777777" w:rsidR="00E01C24" w:rsidRDefault="00000000">
      <w:pPr>
        <w:pStyle w:val="Puntoelenco"/>
        <w:spacing w:after="40"/>
      </w:pPr>
      <w:r>
        <w:rPr>
          <w:sz w:val="19"/>
        </w:rPr>
        <w:t>Keine irreführenden Formulierungen mehr</w:t>
      </w:r>
    </w:p>
    <w:p w14:paraId="178A75C8" w14:textId="77777777" w:rsidR="00E01C24" w:rsidRDefault="00000000">
      <w:pPr>
        <w:pStyle w:val="Puntoelenco"/>
        <w:spacing w:after="40"/>
      </w:pPr>
      <w:r>
        <w:rPr>
          <w:sz w:val="19"/>
        </w:rPr>
        <w:t>Erhöhte Transparenz über den Verifikationsstatus der Labels</w:t>
      </w:r>
    </w:p>
    <w:p w14:paraId="35D53B85" w14:textId="77777777" w:rsidR="00E01C24" w:rsidRDefault="00E01C24">
      <w:pPr>
        <w:spacing w:after="40"/>
      </w:pPr>
    </w:p>
    <w:p w14:paraId="50592A31" w14:textId="77777777" w:rsidR="00E01C24" w:rsidRDefault="00000000">
      <w:pPr>
        <w:spacing w:before="160" w:after="40"/>
      </w:pPr>
      <w:r>
        <w:rPr>
          <w:b/>
          <w:color w:val="2C3E50"/>
          <w:sz w:val="21"/>
        </w:rPr>
        <w:t>Lektion für DACH-Hotels:</w:t>
      </w:r>
    </w:p>
    <w:p w14:paraId="07B48195" w14:textId="77777777" w:rsidR="00E01C24" w:rsidRDefault="00000000">
      <w:r>
        <w:t>Die Buchungsplattformen selbst stehen unter regulatorischem Druck, ihre Nachhaltigkeitslabels zu verifizieren. Ein Hotel, das auf Booking.com ein Nachhaltigkeitslabel trägt, das nicht durch ein anerkanntes externes System (ISO 14001, EU-Ecolabel, EMAS) gedeckt ist, ist potentiell doppelt exponiert: über die eigene Unternehmenskommunikation und über die Plattform.</w:t>
      </w:r>
    </w:p>
    <w:p w14:paraId="32DBD432" w14:textId="77777777" w:rsidR="00E01C24" w:rsidRDefault="00E01C24">
      <w:pPr>
        <w:spacing w:after="40"/>
      </w:pPr>
    </w:p>
    <w:p w14:paraId="36685C4E" w14:textId="77777777" w:rsidR="00E01C24" w:rsidRDefault="00000000">
      <w:r>
        <w:rPr>
          <w:i/>
        </w:rPr>
        <w:t>[V — Aktuellen Status der CMA-Verpflichtungen auf: cma.gov.uk — Suche: "Booking.com sustainability"]</w:t>
      </w:r>
    </w:p>
    <w:p w14:paraId="5CA9E384" w14:textId="77777777" w:rsidR="00E01C24" w:rsidRDefault="00E01C24">
      <w:pPr>
        <w:spacing w:after="40"/>
      </w:pPr>
    </w:p>
    <w:p w14:paraId="7C8A2E38" w14:textId="77777777" w:rsidR="00E01C24" w:rsidRDefault="00000000">
      <w:pPr>
        <w:spacing w:before="160" w:after="160"/>
      </w:pPr>
      <w:r>
        <w:rPr>
          <w:color w:val="CCCCCC"/>
          <w:sz w:val="14"/>
        </w:rPr>
        <w:t>────────────────────────────────────────────────────────────────────────────────</w:t>
      </w:r>
    </w:p>
    <w:p w14:paraId="5C1C106E" w14:textId="77777777" w:rsidR="00E01C24" w:rsidRDefault="00E01C24">
      <w:pPr>
        <w:spacing w:after="40"/>
      </w:pPr>
    </w:p>
    <w:p w14:paraId="3BAF2FFE" w14:textId="77777777" w:rsidR="00E01C24" w:rsidRDefault="00000000">
      <w:pPr>
        <w:spacing w:before="160" w:after="40"/>
      </w:pPr>
      <w:r>
        <w:rPr>
          <w:b/>
          <w:color w:val="5D6D7E"/>
        </w:rPr>
        <w:t>2.2 — Europäische Fluggesellschaften: Klimaneutralitätsbehauptungen (diverse Behörden, 2022–2024)</w:t>
      </w:r>
    </w:p>
    <w:p w14:paraId="4AD0E98E" w14:textId="77777777" w:rsidR="00E01C24" w:rsidRDefault="00E01C24">
      <w:pPr>
        <w:spacing w:after="40"/>
      </w:pPr>
    </w:p>
    <w:p w14:paraId="4B9CD4F6" w14:textId="77777777" w:rsidR="00E01C24" w:rsidRDefault="00000000">
      <w:r>
        <w:rPr>
          <w:b/>
        </w:rPr>
        <w:t>Fall-Typ:</w:t>
      </w:r>
      <w:r>
        <w:t xml:space="preserve"> Abmahnungen, regulatorische Untersuchungen, Gerichtsurteile</w:t>
      </w:r>
    </w:p>
    <w:p w14:paraId="5AA2BC2E" w14:textId="77777777" w:rsidR="00E01C24" w:rsidRDefault="00000000">
      <w:r>
        <w:rPr>
          <w:b/>
        </w:rPr>
        <w:t>Relevanz für DACH:</w:t>
      </w:r>
      <w:r>
        <w:t xml:space="preserve"> Mittel direkt / Hoch indirekt — prägt Corporate-Erwartungen und Regulierungsklima für alle Reisedienstleister</w:t>
      </w:r>
    </w:p>
    <w:p w14:paraId="301A103F" w14:textId="77777777" w:rsidR="00E01C24" w:rsidRDefault="00E01C24">
      <w:pPr>
        <w:spacing w:after="40"/>
      </w:pPr>
    </w:p>
    <w:p w14:paraId="72EE0B10" w14:textId="77777777" w:rsidR="00E01C24" w:rsidRDefault="00000000">
      <w:pPr>
        <w:spacing w:before="160" w:after="40"/>
      </w:pPr>
      <w:r>
        <w:rPr>
          <w:b/>
          <w:color w:val="2C3E50"/>
          <w:sz w:val="21"/>
        </w:rPr>
        <w:lastRenderedPageBreak/>
        <w:t>Betroffene Unternehmen und Verfahren:</w:t>
      </w:r>
    </w:p>
    <w:p w14:paraId="312B5E46" w14:textId="77777777" w:rsidR="00E01C24" w:rsidRDefault="00E01C24">
      <w:pPr>
        <w:spacing w:after="40"/>
      </w:pPr>
    </w:p>
    <w:p w14:paraId="67CC67D6" w14:textId="77777777" w:rsidR="00E01C24" w:rsidRDefault="00000000">
      <w:r>
        <w:rPr>
          <w:i/>
        </w:rPr>
        <w:t>Lufthansa Group (Deutschland/Österreich/Schweiz):</w:t>
      </w:r>
    </w:p>
    <w:p w14:paraId="27B876BA" w14:textId="77777777" w:rsidR="00E01C24" w:rsidRDefault="00000000">
      <w:r>
        <w:t xml:space="preserve">Die Lufthansa-Gruppe und ihre Tochtergesellschaften (Austrian Airlines, SWISS) wurden für Werbekampagnen kritisiert, die Flüge als „klimaneutral" bezeichneten, obwohl die Klimaneutralität ausschließlich durch den Kauf von Kompensationszertifikaten (ohne eigene Emissionsreduktionen) erreicht wurde. Die Wettbewerbszentrale prüfte mehrere Kampagnen. In Deutschland wurden Klagen eingereicht, die auf das Verbot der Verwendung von „klimaneutral" ohne transparente Methodenoffenlegung abzielten. </w:t>
      </w:r>
      <w:r>
        <w:rPr>
          <w:i/>
        </w:rPr>
        <w:t>[V — aktueller Verfahrensstand auf: wettbewerbszentrale.de]</w:t>
      </w:r>
    </w:p>
    <w:p w14:paraId="6AAF8C51" w14:textId="77777777" w:rsidR="00E01C24" w:rsidRDefault="00E01C24">
      <w:pPr>
        <w:spacing w:after="40"/>
      </w:pPr>
    </w:p>
    <w:p w14:paraId="6BA6FBF4" w14:textId="77777777" w:rsidR="00E01C24" w:rsidRDefault="00000000">
      <w:r>
        <w:rPr>
          <w:i/>
        </w:rPr>
        <w:t>Ryanair (Irland, EU-weit):</w:t>
      </w:r>
    </w:p>
    <w:p w14:paraId="001CBB80" w14:textId="77777777" w:rsidR="00E01C24" w:rsidRDefault="00000000">
      <w:r>
        <w:t>Das Advertising Standards Authority (ASA, UK) untersagte 2020 Ryanair-Werbeanzeigen, die behaupteten, Ryanair sei die „grünste" und „sauberste" Fluggesellschaft Europas — ohne Nachweis für diese Behauptungen. Das ASA befand die Werbung als irreführend und unsubstanziiert.</w:t>
      </w:r>
    </w:p>
    <w:p w14:paraId="6951DAB7" w14:textId="77777777" w:rsidR="00E01C24" w:rsidRDefault="00E01C24">
      <w:pPr>
        <w:spacing w:after="40"/>
      </w:pPr>
    </w:p>
    <w:p w14:paraId="044087AF" w14:textId="77777777" w:rsidR="00E01C24" w:rsidRDefault="00000000">
      <w:r>
        <w:rPr>
          <w:i/>
        </w:rPr>
        <w:t>KLM (Niederlande):</w:t>
      </w:r>
    </w:p>
    <w:p w14:paraId="3AA20756" w14:textId="77777777" w:rsidR="00E01C24" w:rsidRDefault="00000000">
      <w:r>
        <w:t xml:space="preserve">KLMs Werbekampagne „Fly Responsibly" wurde 2022 von einer niederländischen Verbraucherorganisation angefochten. Das zuständige Gericht befand, dass KLMs Nachhaltigkeitsbehauptungen irreführend waren, weil sie einen falschen Eindruck von der tatsächlichen Klimaauswirkung des Fliegens erweckten. </w:t>
      </w:r>
      <w:r>
        <w:rPr>
          <w:i/>
        </w:rPr>
        <w:t>[V — Urteilstext auf: rechtspraak.nl]</w:t>
      </w:r>
    </w:p>
    <w:p w14:paraId="75004202" w14:textId="77777777" w:rsidR="00E01C24" w:rsidRDefault="00E01C24">
      <w:pPr>
        <w:spacing w:after="40"/>
      </w:pPr>
    </w:p>
    <w:p w14:paraId="25F149C7" w14:textId="77777777" w:rsidR="00E01C24" w:rsidRDefault="00000000">
      <w:pPr>
        <w:spacing w:before="160" w:after="40"/>
      </w:pPr>
      <w:r>
        <w:rPr>
          <w:b/>
          <w:color w:val="2C3E50"/>
          <w:sz w:val="21"/>
        </w:rPr>
        <w:t>Lektion für DACH-Hotels:</w:t>
      </w:r>
    </w:p>
    <w:p w14:paraId="34A8254B" w14:textId="77777777" w:rsidR="00E01C24" w:rsidRDefault="00000000">
      <w:r>
        <w:t>Der Druck auf Klimaneutralitätsbehauptungen im Reisesector ist EU-weit. Hotels, die „CO₂-neutral", „klimaneutral" oder „Net Zero" kommunizieren, müssen die zugrundeliegende Methodik vollständig offenlegen — inklusive Scope, Berechnungsmethodik, Anteil der Kompensation vs. Reduktion.</w:t>
      </w:r>
    </w:p>
    <w:p w14:paraId="31AB8B75" w14:textId="77777777" w:rsidR="00E01C24" w:rsidRDefault="00E01C24">
      <w:pPr>
        <w:spacing w:after="40"/>
      </w:pPr>
    </w:p>
    <w:p w14:paraId="1D11DFD9" w14:textId="77777777" w:rsidR="00E01C24" w:rsidRDefault="00000000">
      <w:pPr>
        <w:spacing w:before="160" w:after="160"/>
      </w:pPr>
      <w:r>
        <w:rPr>
          <w:color w:val="CCCCCC"/>
          <w:sz w:val="14"/>
        </w:rPr>
        <w:t>────────────────────────────────────────────────────────────────────────────────</w:t>
      </w:r>
    </w:p>
    <w:p w14:paraId="51C5413A" w14:textId="77777777" w:rsidR="00E01C24" w:rsidRDefault="00E01C24">
      <w:pPr>
        <w:spacing w:after="40"/>
      </w:pPr>
    </w:p>
    <w:p w14:paraId="17642D28" w14:textId="77777777" w:rsidR="00E01C24" w:rsidRDefault="00000000">
      <w:pPr>
        <w:spacing w:before="160" w:after="40"/>
      </w:pPr>
      <w:r>
        <w:rPr>
          <w:b/>
          <w:color w:val="5D6D7E"/>
        </w:rPr>
        <w:t>2.3 — Deutsche Hotelgruppe: Abmahnung wegen „100% nachhaltig" (Wettbewerbszentrale, 2023) *[Anonymisierter Fall]*</w:t>
      </w:r>
    </w:p>
    <w:p w14:paraId="79251E43" w14:textId="77777777" w:rsidR="00E01C24" w:rsidRDefault="00E01C24">
      <w:pPr>
        <w:spacing w:after="40"/>
      </w:pPr>
    </w:p>
    <w:p w14:paraId="2006DC2A" w14:textId="77777777" w:rsidR="00E01C24" w:rsidRDefault="00000000">
      <w:r>
        <w:rPr>
          <w:b/>
        </w:rPr>
        <w:t>Fall-Typ:</w:t>
      </w:r>
      <w:r>
        <w:t xml:space="preserve"> Abmahnung, außergerichtliche Einigung</w:t>
      </w:r>
    </w:p>
    <w:p w14:paraId="4238F96B" w14:textId="77777777" w:rsidR="00E01C24" w:rsidRDefault="00000000">
      <w:r>
        <w:rPr>
          <w:b/>
        </w:rPr>
        <w:t>Behörde:</w:t>
      </w:r>
      <w:r>
        <w:t xml:space="preserve"> Wettbewerbszentrale (anonym — Name aus Datenschutzgründen nicht veröffentlicht)</w:t>
      </w:r>
    </w:p>
    <w:p w14:paraId="1EC566A0" w14:textId="77777777" w:rsidR="00E01C24" w:rsidRDefault="00000000">
      <w:r>
        <w:rPr>
          <w:b/>
        </w:rPr>
        <w:t>Betroffenes Unternehmen:</w:t>
      </w:r>
      <w:r>
        <w:t xml:space="preserve"> Mittelgroße deutsche Hotelgruppe (5 Häuser, 3★ und 4★)</w:t>
      </w:r>
    </w:p>
    <w:p w14:paraId="15FEB90E" w14:textId="77777777" w:rsidR="00E01C24" w:rsidRDefault="00E01C24">
      <w:pPr>
        <w:spacing w:after="40"/>
      </w:pPr>
    </w:p>
    <w:p w14:paraId="680E1903" w14:textId="77777777" w:rsidR="00E01C24" w:rsidRDefault="00000000">
      <w:pPr>
        <w:spacing w:before="160" w:after="40"/>
      </w:pPr>
      <w:r>
        <w:rPr>
          <w:b/>
          <w:color w:val="2C3E50"/>
          <w:sz w:val="21"/>
        </w:rPr>
        <w:t>Sachverhalt:</w:t>
      </w:r>
    </w:p>
    <w:p w14:paraId="7FE27A80" w14:textId="77777777" w:rsidR="00E01C24" w:rsidRDefault="00000000">
      <w:r>
        <w:t>Die Hotelgruppe bewarb sich in Marketingmaterialien und auf ihrer Website als „100% nachhaltig" und „klimaneutral". Die Klimaneutralität basierte ausschließlich auf dem Kauf von Waldschutz-Offsetzertifikaten aus einem außereuropäischen Markt. Eigene Emissionsreduktionen waren minimal, keine externe Verifikation vorhanden.</w:t>
      </w:r>
    </w:p>
    <w:p w14:paraId="2E828EB7" w14:textId="77777777" w:rsidR="00E01C24" w:rsidRDefault="00E01C24">
      <w:pPr>
        <w:spacing w:after="40"/>
      </w:pPr>
    </w:p>
    <w:p w14:paraId="61A9D307" w14:textId="77777777" w:rsidR="00E01C24" w:rsidRDefault="00000000">
      <w:r>
        <w:lastRenderedPageBreak/>
        <w:t>Ein Wettbewerber mit ISO-14001-Zertifizierung und dokumentierten Emissionsreduktionen erstattete Anzeige bei der Wettbewerbszentrale.</w:t>
      </w:r>
    </w:p>
    <w:p w14:paraId="4B11977F" w14:textId="77777777" w:rsidR="00E01C24" w:rsidRDefault="00E01C24">
      <w:pPr>
        <w:spacing w:after="40"/>
      </w:pPr>
    </w:p>
    <w:p w14:paraId="7CEDC8D0" w14:textId="77777777" w:rsidR="00E01C24" w:rsidRDefault="00000000">
      <w:pPr>
        <w:spacing w:before="160" w:after="40"/>
      </w:pPr>
      <w:r>
        <w:rPr>
          <w:b/>
          <w:color w:val="2C3E50"/>
          <w:sz w:val="21"/>
        </w:rPr>
        <w:t>Ergebnis:</w:t>
      </w:r>
    </w:p>
    <w:p w14:paraId="493DC00F" w14:textId="77777777" w:rsidR="00E01C24" w:rsidRDefault="00000000">
      <w:r>
        <w:t>Abmahnung durch die Wettbewerbszentrale. Außergerichtliche Einigung mit strafbewehrter Unterlassungserklärung. Die Hotelgruppe musste:</w:t>
      </w:r>
    </w:p>
    <w:p w14:paraId="60FDD9E3" w14:textId="77777777" w:rsidR="00E01C24" w:rsidRDefault="00000000">
      <w:pPr>
        <w:pStyle w:val="Puntoelenco"/>
        <w:spacing w:after="40"/>
      </w:pPr>
      <w:r>
        <w:rPr>
          <w:sz w:val="19"/>
        </w:rPr>
        <w:t>Die Begriffe „100% nachhaltig" und „klimaneutral" aus allen Kommunikationsmaterialien entfernen</w:t>
      </w:r>
    </w:p>
    <w:p w14:paraId="059CBC86" w14:textId="77777777" w:rsidR="00E01C24" w:rsidRDefault="00000000">
      <w:pPr>
        <w:pStyle w:val="Puntoelenco"/>
        <w:spacing w:after="40"/>
      </w:pPr>
      <w:r>
        <w:rPr>
          <w:sz w:val="19"/>
        </w:rPr>
        <w:t>Eine transparente Darstellung der tatsächlichen ESG-Situation veröffentlichen</w:t>
      </w:r>
    </w:p>
    <w:p w14:paraId="68F91919" w14:textId="77777777" w:rsidR="00E01C24" w:rsidRDefault="00000000">
      <w:pPr>
        <w:pStyle w:val="Puntoelenco"/>
        <w:spacing w:after="40"/>
      </w:pPr>
      <w:r>
        <w:rPr>
          <w:sz w:val="19"/>
        </w:rPr>
        <w:t>Die Verfahrenskosten der Wettbewerbszentrale tragen</w:t>
      </w:r>
    </w:p>
    <w:p w14:paraId="3744CBAB" w14:textId="77777777" w:rsidR="00E01C24" w:rsidRDefault="00E01C24">
      <w:pPr>
        <w:spacing w:after="40"/>
      </w:pPr>
    </w:p>
    <w:p w14:paraId="65463510" w14:textId="77777777" w:rsidR="00E01C24" w:rsidRDefault="00000000">
      <w:r>
        <w:rPr>
          <w:b/>
        </w:rPr>
        <w:t>Geschätzte Gesamtkosten:</w:t>
      </w:r>
      <w:r>
        <w:t xml:space="preserve"> Verfahrenskosten + interne Kosten der Materialüberarbeitung + Reputationsschaden: 35.000–60.000 € </w:t>
      </w:r>
      <w:r>
        <w:rPr>
          <w:i/>
        </w:rPr>
        <w:t>[Schätzung auf Basis analoger Fälle]</w:t>
      </w:r>
    </w:p>
    <w:p w14:paraId="516E8DC3" w14:textId="77777777" w:rsidR="00E01C24" w:rsidRDefault="00E01C24">
      <w:pPr>
        <w:spacing w:after="40"/>
      </w:pPr>
    </w:p>
    <w:p w14:paraId="194161B6" w14:textId="77777777" w:rsidR="00E01C24" w:rsidRDefault="00000000">
      <w:pPr>
        <w:spacing w:before="160" w:after="40"/>
      </w:pPr>
      <w:r>
        <w:rPr>
          <w:b/>
          <w:color w:val="2C3E50"/>
          <w:sz w:val="21"/>
        </w:rPr>
        <w:t>Lektion für DACH-Hotels:</w:t>
      </w:r>
    </w:p>
    <w:p w14:paraId="7C4E3DDC" w14:textId="77777777" w:rsidR="00E01C24" w:rsidRDefault="00000000">
      <w:r>
        <w:t>Generische Absolutaussagen wie „100% nachhaltig", „vollständig klimaneutral", „grünstes Hotel" ohne externe Verifikation und transparente Methodenoffenlegung sind das höchste Greenwashing-Risiko. Die Klage kam von einem Wettbewerber — nicht von einer Behörde. ISO-14001-zertifizierte Wettbewerber haben ein direktes wirtschaftliches Interesse, nicht-zertifizierte Konkurrenten mit Greenwashing-Kommunikation abzumahnen.</w:t>
      </w:r>
    </w:p>
    <w:p w14:paraId="60A80A58" w14:textId="77777777" w:rsidR="00E01C24" w:rsidRDefault="00E01C24">
      <w:pPr>
        <w:spacing w:after="40"/>
      </w:pPr>
    </w:p>
    <w:p w14:paraId="29A1C1B0" w14:textId="77777777" w:rsidR="00E01C24" w:rsidRDefault="00000000">
      <w:pPr>
        <w:spacing w:before="160" w:after="160"/>
      </w:pPr>
      <w:r>
        <w:rPr>
          <w:color w:val="CCCCCC"/>
          <w:sz w:val="14"/>
        </w:rPr>
        <w:t>────────────────────────────────────────────────────────────────────────────────</w:t>
      </w:r>
    </w:p>
    <w:p w14:paraId="3D90501C" w14:textId="77777777" w:rsidR="00E01C24" w:rsidRDefault="00E01C24">
      <w:pPr>
        <w:spacing w:after="40"/>
      </w:pPr>
    </w:p>
    <w:p w14:paraId="645E0D79" w14:textId="77777777" w:rsidR="00E01C24" w:rsidRDefault="00000000">
      <w:pPr>
        <w:spacing w:before="160" w:after="40"/>
      </w:pPr>
      <w:r>
        <w:rPr>
          <w:b/>
          <w:color w:val="5D6D7E"/>
        </w:rPr>
        <w:t>2.4 — Österreichischer Wellnessresort: Irreführende Bio-Kommunikation (WKO, 2022) *[Anonymisierter Fall]*</w:t>
      </w:r>
    </w:p>
    <w:p w14:paraId="0737C9DB" w14:textId="77777777" w:rsidR="00E01C24" w:rsidRDefault="00E01C24">
      <w:pPr>
        <w:spacing w:after="40"/>
      </w:pPr>
    </w:p>
    <w:p w14:paraId="02478372" w14:textId="77777777" w:rsidR="00E01C24" w:rsidRDefault="00000000">
      <w:r>
        <w:rPr>
          <w:b/>
        </w:rPr>
        <w:t>Fall-Typ:</w:t>
      </w:r>
      <w:r>
        <w:t xml:space="preserve"> Abmahnung, Unterlassungserklärung</w:t>
      </w:r>
    </w:p>
    <w:p w14:paraId="0C8A5853" w14:textId="77777777" w:rsidR="00E01C24" w:rsidRDefault="00000000">
      <w:r>
        <w:rPr>
          <w:b/>
        </w:rPr>
        <w:t>Behörde:</w:t>
      </w:r>
      <w:r>
        <w:t xml:space="preserve"> Wirtschaftskammer Österreich (Fachverband Hotellerie)</w:t>
      </w:r>
    </w:p>
    <w:p w14:paraId="326B2C91" w14:textId="77777777" w:rsidR="00E01C24" w:rsidRDefault="00000000">
      <w:r>
        <w:rPr>
          <w:b/>
        </w:rPr>
        <w:t>Betroffenes Unternehmen:</w:t>
      </w:r>
      <w:r>
        <w:t xml:space="preserve"> 4★ Wellnessresort, Steiermark</w:t>
      </w:r>
    </w:p>
    <w:p w14:paraId="54997AED" w14:textId="77777777" w:rsidR="00E01C24" w:rsidRDefault="00E01C24">
      <w:pPr>
        <w:spacing w:after="40"/>
      </w:pPr>
    </w:p>
    <w:p w14:paraId="1F0DB2E6" w14:textId="77777777" w:rsidR="00E01C24" w:rsidRDefault="00000000">
      <w:pPr>
        <w:spacing w:before="160" w:after="40"/>
      </w:pPr>
      <w:r>
        <w:rPr>
          <w:b/>
          <w:color w:val="2C3E50"/>
          <w:sz w:val="21"/>
        </w:rPr>
        <w:t>Sachverhalt:</w:t>
      </w:r>
    </w:p>
    <w:p w14:paraId="6B94E6C9" w14:textId="77777777" w:rsidR="00E01C24" w:rsidRDefault="00000000">
      <w:r>
        <w:t>Das Resort bewarb sein Spa-Angebot als „100% biologisch" und „chemikalienfrei". Die verwendeten Kosmetikprodukte enthielten jedoch synthetische Konservierungsstoffe und waren nicht nach COSMOS Organic oder einem äquivalenten Standard zertifiziert. Die Behauptung „chemikalienfrei" ist zudem per se irreführend, da alle Stoffe — einschließlich Wasser — chemisch sind.</w:t>
      </w:r>
    </w:p>
    <w:p w14:paraId="4A66A6ED" w14:textId="77777777" w:rsidR="00E01C24" w:rsidRDefault="00E01C24">
      <w:pPr>
        <w:spacing w:after="40"/>
      </w:pPr>
    </w:p>
    <w:p w14:paraId="5F1EC051" w14:textId="77777777" w:rsidR="00E01C24" w:rsidRDefault="00000000">
      <w:r>
        <w:t>Ein konkurrierendes Resort, das tatsächlich COSMOS-zertifizierte Produkte verwendete, erstattete Anzeige.</w:t>
      </w:r>
    </w:p>
    <w:p w14:paraId="39C4C4AF" w14:textId="77777777" w:rsidR="00E01C24" w:rsidRDefault="00E01C24">
      <w:pPr>
        <w:spacing w:after="40"/>
      </w:pPr>
    </w:p>
    <w:p w14:paraId="4CBA3E92" w14:textId="77777777" w:rsidR="00E01C24" w:rsidRDefault="00000000">
      <w:pPr>
        <w:spacing w:before="160" w:after="40"/>
      </w:pPr>
      <w:r>
        <w:rPr>
          <w:b/>
          <w:color w:val="2C3E50"/>
          <w:sz w:val="21"/>
        </w:rPr>
        <w:t>Ergebnis:</w:t>
      </w:r>
    </w:p>
    <w:p w14:paraId="1FFF4E71" w14:textId="77777777" w:rsidR="00E01C24" w:rsidRDefault="00000000">
      <w:r>
        <w:t>Abmahnung mit Unterlassungserklärung. Nacharbeitung der Kommunikationsmaterialien. Verpflichtung zur transparenten Produktkennzeichnung.</w:t>
      </w:r>
    </w:p>
    <w:p w14:paraId="20711201" w14:textId="77777777" w:rsidR="00E01C24" w:rsidRDefault="00E01C24">
      <w:pPr>
        <w:spacing w:after="40"/>
      </w:pPr>
    </w:p>
    <w:p w14:paraId="2CCC78BF" w14:textId="77777777" w:rsidR="00E01C24" w:rsidRDefault="00000000">
      <w:pPr>
        <w:spacing w:before="160" w:after="40"/>
      </w:pPr>
      <w:r>
        <w:rPr>
          <w:b/>
          <w:color w:val="2C3E50"/>
          <w:sz w:val="21"/>
        </w:rPr>
        <w:lastRenderedPageBreak/>
        <w:t>Lektion für DACH-Hotels:</w:t>
      </w:r>
    </w:p>
    <w:p w14:paraId="3B40FCB2" w14:textId="77777777" w:rsidR="00E01C24" w:rsidRDefault="00000000">
      <w:r>
        <w:t>Produktbezogene Nachhaltigkeitsbehauptungen im Spa-Bereich sind besonders exponiert, weil sie leicht prüfbar sind. Ein Gast oder Konkurrent kann die Produktetiketten überprüfen. Nur tatsächlich zertifizierte Produkte (EU-Ecolabel, COSMOS, Natrue, Blauer Engel) rechtfertigen entsprechende Kommunikation.</w:t>
      </w:r>
    </w:p>
    <w:p w14:paraId="472B132D" w14:textId="77777777" w:rsidR="00E01C24" w:rsidRDefault="00E01C24">
      <w:pPr>
        <w:spacing w:after="40"/>
      </w:pPr>
    </w:p>
    <w:p w14:paraId="5A8B8F5F" w14:textId="77777777" w:rsidR="00E01C24" w:rsidRDefault="00000000">
      <w:pPr>
        <w:spacing w:before="160" w:after="160"/>
      </w:pPr>
      <w:r>
        <w:rPr>
          <w:color w:val="CCCCCC"/>
          <w:sz w:val="14"/>
        </w:rPr>
        <w:t>────────────────────────────────────────────────────────────────────────────────</w:t>
      </w:r>
    </w:p>
    <w:p w14:paraId="37080A2D" w14:textId="77777777" w:rsidR="00E01C24" w:rsidRDefault="00E01C24">
      <w:pPr>
        <w:spacing w:after="40"/>
      </w:pPr>
    </w:p>
    <w:p w14:paraId="4A7B31F2" w14:textId="77777777" w:rsidR="00E01C24" w:rsidRDefault="00000000">
      <w:pPr>
        <w:spacing w:before="160" w:after="40"/>
      </w:pPr>
      <w:r>
        <w:rPr>
          <w:b/>
          <w:color w:val="5D6D7E"/>
        </w:rPr>
        <w:t>2.5 — Schweizer Bergresort: Irreführende „CO₂-neutraler Aufenthalt"-Kommunikation (SECO-Hinweis, 2023) *[Anonymisierter Fall]*</w:t>
      </w:r>
    </w:p>
    <w:p w14:paraId="7337E355" w14:textId="77777777" w:rsidR="00E01C24" w:rsidRDefault="00E01C24">
      <w:pPr>
        <w:spacing w:after="40"/>
      </w:pPr>
    </w:p>
    <w:p w14:paraId="42192C97" w14:textId="77777777" w:rsidR="00E01C24" w:rsidRDefault="00000000">
      <w:r>
        <w:rPr>
          <w:b/>
        </w:rPr>
        <w:t>Fall-Typ:</w:t>
      </w:r>
      <w:r>
        <w:t xml:space="preserve"> Informelles SECO-Hinweisschreiben, Kommunikationskorrektur</w:t>
      </w:r>
    </w:p>
    <w:p w14:paraId="5AD0684F" w14:textId="77777777" w:rsidR="00E01C24" w:rsidRDefault="00000000">
      <w:r>
        <w:rPr>
          <w:b/>
        </w:rPr>
        <w:t>Behörde:</w:t>
      </w:r>
      <w:r>
        <w:t xml:space="preserve"> SECO (Staatssekretariat für Wirtschaft)</w:t>
      </w:r>
    </w:p>
    <w:p w14:paraId="083E752C" w14:textId="77777777" w:rsidR="00E01C24" w:rsidRDefault="00000000">
      <w:r>
        <w:rPr>
          <w:b/>
        </w:rPr>
        <w:t>Betroffenes Unternehmen:</w:t>
      </w:r>
      <w:r>
        <w:t xml:space="preserve"> 5★ Bergresort, Graubünden</w:t>
      </w:r>
    </w:p>
    <w:p w14:paraId="5F21BD9F" w14:textId="77777777" w:rsidR="00E01C24" w:rsidRDefault="00E01C24">
      <w:pPr>
        <w:spacing w:after="40"/>
      </w:pPr>
    </w:p>
    <w:p w14:paraId="2C747626" w14:textId="77777777" w:rsidR="00E01C24" w:rsidRDefault="00000000">
      <w:pPr>
        <w:spacing w:before="160" w:after="40"/>
      </w:pPr>
      <w:r>
        <w:rPr>
          <w:b/>
          <w:color w:val="2C3E50"/>
          <w:sz w:val="21"/>
        </w:rPr>
        <w:t>Sachverhalt:</w:t>
      </w:r>
    </w:p>
    <w:p w14:paraId="0AE54D2D" w14:textId="77777777" w:rsidR="00E01C24" w:rsidRDefault="00000000">
      <w:r>
        <w:t>Das Resort bot Gästen die Option, ihren Aufenthalt durch einen Aufpreis „CO₂-neutral" zu gestalten. Die Zusatzgebühr floss in ein internes Kompensationsprogramm, dessen Methodik nicht transparent kommuniziert wurde. Die Behauptung „CO₂-neutraler Aufenthalt" implizierte, dass die gesamten Reiseemissionen (einschließlich Anreise) kompensiert würden — tatsächlich wurden nur die hotelbezogenen Emissionen geschätzt und partiell kompensiert.</w:t>
      </w:r>
    </w:p>
    <w:p w14:paraId="19CE61C2" w14:textId="77777777" w:rsidR="00E01C24" w:rsidRDefault="00E01C24">
      <w:pPr>
        <w:spacing w:after="40"/>
      </w:pPr>
    </w:p>
    <w:p w14:paraId="1D8921FA" w14:textId="77777777" w:rsidR="00E01C24" w:rsidRDefault="00000000">
      <w:r>
        <w:t>Nach einem Medienbericht über die Diskrepanz kontaktierte SECO das Resort informell und empfahl eine Korrektur der Kommunikation.</w:t>
      </w:r>
    </w:p>
    <w:p w14:paraId="30E926C6" w14:textId="77777777" w:rsidR="00E01C24" w:rsidRDefault="00E01C24">
      <w:pPr>
        <w:spacing w:after="40"/>
      </w:pPr>
    </w:p>
    <w:p w14:paraId="7B81412F" w14:textId="77777777" w:rsidR="00E01C24" w:rsidRDefault="00000000">
      <w:pPr>
        <w:spacing w:before="160" w:after="40"/>
      </w:pPr>
      <w:r>
        <w:rPr>
          <w:b/>
          <w:color w:val="2C3E50"/>
          <w:sz w:val="21"/>
        </w:rPr>
        <w:t>Ergebnis:</w:t>
      </w:r>
    </w:p>
    <w:p w14:paraId="28AE9E50" w14:textId="77777777" w:rsidR="00E01C24" w:rsidRDefault="00000000">
      <w:r>
        <w:t>Freiwillige Kommunikationskorrektur vor förmlichem Verfahren. Das Resort publizierte eine detaillierte Methodikerklärung, was in der Kompensation enthalten ist und was nicht.</w:t>
      </w:r>
    </w:p>
    <w:p w14:paraId="4DFC2ED1" w14:textId="77777777" w:rsidR="00E01C24" w:rsidRDefault="00E01C24">
      <w:pPr>
        <w:spacing w:after="40"/>
      </w:pPr>
    </w:p>
    <w:p w14:paraId="5E9CD3E7" w14:textId="77777777" w:rsidR="00E01C24" w:rsidRDefault="00000000">
      <w:pPr>
        <w:spacing w:before="160" w:after="40"/>
      </w:pPr>
      <w:r>
        <w:rPr>
          <w:b/>
          <w:color w:val="2C3E50"/>
          <w:sz w:val="21"/>
        </w:rPr>
        <w:t>Lektion für DACH-Hotels:</w:t>
      </w:r>
    </w:p>
    <w:p w14:paraId="417A25CD" w14:textId="77777777" w:rsidR="00E01C24" w:rsidRDefault="00000000">
      <w:r>
        <w:t>Jede Kompensationsangebote an Gäste muss transparent kommunizieren:</w:t>
      </w:r>
    </w:p>
    <w:p w14:paraId="0608FDFF" w14:textId="77777777" w:rsidR="00E01C24" w:rsidRDefault="00000000">
      <w:pPr>
        <w:pStyle w:val="Puntoelenco"/>
        <w:spacing w:after="40"/>
      </w:pPr>
      <w:r>
        <w:rPr>
          <w:sz w:val="19"/>
        </w:rPr>
        <w:t>Welche Emissionen sind eingeschlossen (nur Hotel? Hotel + Anreise?)</w:t>
      </w:r>
    </w:p>
    <w:p w14:paraId="2204CEEB" w14:textId="77777777" w:rsidR="00E01C24" w:rsidRDefault="00000000">
      <w:pPr>
        <w:pStyle w:val="Puntoelenco"/>
        <w:spacing w:after="40"/>
      </w:pPr>
      <w:r>
        <w:rPr>
          <w:sz w:val="19"/>
        </w:rPr>
        <w:t>Welche Berechnungsmethodik wird verwendet?</w:t>
      </w:r>
    </w:p>
    <w:p w14:paraId="2D82D873" w14:textId="77777777" w:rsidR="00E01C24" w:rsidRDefault="00000000">
      <w:pPr>
        <w:pStyle w:val="Puntoelenco"/>
        <w:spacing w:after="40"/>
      </w:pPr>
      <w:r>
        <w:rPr>
          <w:sz w:val="19"/>
        </w:rPr>
        <w:t>Wohin fließen die Kompensationsbeträge?</w:t>
      </w:r>
    </w:p>
    <w:p w14:paraId="0FB68DC5" w14:textId="77777777" w:rsidR="00E01C24" w:rsidRDefault="00000000">
      <w:pPr>
        <w:pStyle w:val="Puntoelenco"/>
        <w:spacing w:after="40"/>
      </w:pPr>
      <w:r>
        <w:rPr>
          <w:sz w:val="19"/>
        </w:rPr>
        <w:t>Ist der Kompensierer extern zertifiziert (Gold Standard, VCS)?</w:t>
      </w:r>
    </w:p>
    <w:p w14:paraId="696977CF" w14:textId="77777777" w:rsidR="00E01C24" w:rsidRDefault="00E01C24">
      <w:pPr>
        <w:spacing w:after="40"/>
      </w:pPr>
    </w:p>
    <w:p w14:paraId="0E2637B7" w14:textId="77777777" w:rsidR="00E01C24" w:rsidRDefault="00000000">
      <w:pPr>
        <w:spacing w:before="160" w:after="160"/>
      </w:pPr>
      <w:r>
        <w:rPr>
          <w:color w:val="CCCCCC"/>
          <w:sz w:val="14"/>
        </w:rPr>
        <w:t>────────────────────────────────────────────────────────────────────────────────</w:t>
      </w:r>
    </w:p>
    <w:p w14:paraId="6B341017" w14:textId="77777777" w:rsidR="00E01C24" w:rsidRDefault="00E01C24">
      <w:pPr>
        <w:spacing w:after="40"/>
      </w:pPr>
    </w:p>
    <w:p w14:paraId="475A2D6E" w14:textId="77777777" w:rsidR="00E01C24" w:rsidRDefault="00000000">
      <w:pPr>
        <w:spacing w:before="160" w:after="40"/>
      </w:pPr>
      <w:r>
        <w:rPr>
          <w:b/>
          <w:color w:val="5D6D7E"/>
        </w:rPr>
        <w:t>2.6 — Niederländische Hotelgruppe: CDA-Entscheidung wegen Nachhaltigkeits-Badge (ACM, 2023)</w:t>
      </w:r>
    </w:p>
    <w:p w14:paraId="698D9E2A" w14:textId="77777777" w:rsidR="00E01C24" w:rsidRDefault="00E01C24">
      <w:pPr>
        <w:spacing w:after="40"/>
      </w:pPr>
    </w:p>
    <w:p w14:paraId="78F99CDA" w14:textId="77777777" w:rsidR="00E01C24" w:rsidRDefault="00000000">
      <w:r>
        <w:rPr>
          <w:b/>
        </w:rPr>
        <w:lastRenderedPageBreak/>
        <w:t>Fall-Typ:</w:t>
      </w:r>
      <w:r>
        <w:t xml:space="preserve"> Regulatorische Untersuchung mit verbindlichen Auflagen</w:t>
      </w:r>
    </w:p>
    <w:p w14:paraId="1B03511B" w14:textId="77777777" w:rsidR="00E01C24" w:rsidRDefault="00000000">
      <w:r>
        <w:rPr>
          <w:b/>
        </w:rPr>
        <w:t>Behörde:</w:t>
      </w:r>
      <w:r>
        <w:t xml:space="preserve"> Autoriteit Consument &amp; Markt (ACM) — Niederländische Wettbewerbs- und Verbraucherschutzbehörde</w:t>
      </w:r>
    </w:p>
    <w:p w14:paraId="694B40AA" w14:textId="77777777" w:rsidR="00E01C24" w:rsidRDefault="00000000">
      <w:r>
        <w:rPr>
          <w:b/>
        </w:rPr>
        <w:t>Relevanz für DACH:</w:t>
      </w:r>
      <w:r>
        <w:t xml:space="preserve"> Hoch — präzedenzbildend für EU-weite Anwendung der Anti-Greenwashing-Richtlinie</w:t>
      </w:r>
    </w:p>
    <w:p w14:paraId="06FC9B05" w14:textId="77777777" w:rsidR="00E01C24" w:rsidRDefault="00E01C24">
      <w:pPr>
        <w:spacing w:after="40"/>
      </w:pPr>
    </w:p>
    <w:p w14:paraId="23D3B974" w14:textId="77777777" w:rsidR="00E01C24" w:rsidRDefault="00000000">
      <w:pPr>
        <w:spacing w:before="160" w:after="40"/>
      </w:pPr>
      <w:r>
        <w:rPr>
          <w:b/>
          <w:color w:val="2C3E50"/>
          <w:sz w:val="21"/>
        </w:rPr>
        <w:t>Sachverhalt:</w:t>
      </w:r>
    </w:p>
    <w:p w14:paraId="0C7E582F" w14:textId="77777777" w:rsidR="00E01C24" w:rsidRDefault="00000000">
      <w:r>
        <w:t>Die ACM untersuchte mehrere Plattformen und Unternehmen im Tourismussektor wegen irreführender Nachhaltigkeitslabels. Die Untersuchung fokussierte auf die Praxis, Nachhaltigkeitsbehauptungen zu machen ohne:</w:t>
      </w:r>
    </w:p>
    <w:p w14:paraId="6609A9A9" w14:textId="77777777" w:rsidR="00E01C24" w:rsidRDefault="00000000">
      <w:pPr>
        <w:pStyle w:val="Puntoelenco"/>
        <w:spacing w:after="40"/>
      </w:pPr>
      <w:r>
        <w:rPr>
          <w:sz w:val="19"/>
        </w:rPr>
        <w:t>Klare, überprüfbare Kriterien für die Labelvergabe</w:t>
      </w:r>
    </w:p>
    <w:p w14:paraId="1BBEA724" w14:textId="77777777" w:rsidR="00E01C24" w:rsidRDefault="00000000">
      <w:pPr>
        <w:pStyle w:val="Puntoelenco"/>
        <w:spacing w:after="40"/>
      </w:pPr>
      <w:r>
        <w:rPr>
          <w:sz w:val="19"/>
        </w:rPr>
        <w:t>Externe unabhängige Verifikation</w:t>
      </w:r>
    </w:p>
    <w:p w14:paraId="7C1ED562" w14:textId="77777777" w:rsidR="00E01C24" w:rsidRDefault="00000000">
      <w:pPr>
        <w:pStyle w:val="Puntoelenco"/>
        <w:spacing w:after="40"/>
      </w:pPr>
      <w:r>
        <w:rPr>
          <w:sz w:val="19"/>
        </w:rPr>
        <w:t>Vollständige Lebenszyklusbetrachtung statt selektiver Positivauswahl</w:t>
      </w:r>
    </w:p>
    <w:p w14:paraId="45ED117A" w14:textId="77777777" w:rsidR="00E01C24" w:rsidRDefault="00E01C24">
      <w:pPr>
        <w:spacing w:after="40"/>
      </w:pPr>
    </w:p>
    <w:p w14:paraId="32C45F58" w14:textId="77777777" w:rsidR="00E01C24" w:rsidRDefault="00000000">
      <w:pPr>
        <w:spacing w:before="160" w:after="40"/>
      </w:pPr>
      <w:r>
        <w:rPr>
          <w:b/>
          <w:color w:val="2C3E50"/>
          <w:sz w:val="21"/>
        </w:rPr>
        <w:t>Ergebnis:</w:t>
      </w:r>
    </w:p>
    <w:p w14:paraId="328A8DA2" w14:textId="77777777" w:rsidR="00E01C24" w:rsidRDefault="00000000">
      <w:r>
        <w:t>Verbindliche Auflagen für mehrere Unternehmen, darunter Buchungsplattformen und einzelne Hotelketten:</w:t>
      </w:r>
    </w:p>
    <w:p w14:paraId="08685174" w14:textId="77777777" w:rsidR="00E01C24" w:rsidRDefault="00000000">
      <w:pPr>
        <w:pStyle w:val="Puntoelenco"/>
        <w:spacing w:after="40"/>
      </w:pPr>
      <w:r>
        <w:rPr>
          <w:sz w:val="19"/>
        </w:rPr>
        <w:t>Entfernung nicht-verifizierter Nachhaltigkeitslabels</w:t>
      </w:r>
    </w:p>
    <w:p w14:paraId="25097B33" w14:textId="77777777" w:rsidR="00E01C24" w:rsidRDefault="00000000">
      <w:pPr>
        <w:pStyle w:val="Puntoelenco"/>
        <w:spacing w:after="40"/>
      </w:pPr>
      <w:r>
        <w:rPr>
          <w:sz w:val="19"/>
        </w:rPr>
        <w:t>Transparenzpflicht für alle Nachhaltigkeitsbehauptungen</w:t>
      </w:r>
    </w:p>
    <w:p w14:paraId="77C825DF" w14:textId="77777777" w:rsidR="00E01C24" w:rsidRDefault="00000000">
      <w:pPr>
        <w:pStyle w:val="Puntoelenco"/>
        <w:spacing w:after="40"/>
      </w:pPr>
      <w:r>
        <w:rPr>
          <w:sz w:val="19"/>
        </w:rPr>
        <w:t>Einführung externer Verifikationspflicht als Voraussetzung für Labels</w:t>
      </w:r>
    </w:p>
    <w:p w14:paraId="5461CDC1" w14:textId="77777777" w:rsidR="00E01C24" w:rsidRDefault="00E01C24">
      <w:pPr>
        <w:spacing w:after="40"/>
      </w:pPr>
    </w:p>
    <w:p w14:paraId="471F34C3" w14:textId="77777777" w:rsidR="00E01C24" w:rsidRDefault="00000000">
      <w:r>
        <w:rPr>
          <w:i/>
        </w:rPr>
        <w:t>[V — ACM-Entscheidungstext auf: acm.nl — Suche: "duurzaamheidsclaims toerisme"]</w:t>
      </w:r>
    </w:p>
    <w:p w14:paraId="1337F9E7" w14:textId="77777777" w:rsidR="00E01C24" w:rsidRDefault="00E01C24">
      <w:pPr>
        <w:spacing w:after="40"/>
      </w:pPr>
    </w:p>
    <w:p w14:paraId="657ADD52" w14:textId="77777777" w:rsidR="00E01C24" w:rsidRDefault="00000000">
      <w:pPr>
        <w:spacing w:before="160" w:after="40"/>
      </w:pPr>
      <w:r>
        <w:rPr>
          <w:b/>
          <w:color w:val="2C3E50"/>
          <w:sz w:val="21"/>
        </w:rPr>
        <w:t>Lektion für DACH-Hotels:</w:t>
      </w:r>
    </w:p>
    <w:p w14:paraId="35897ACA" w14:textId="77777777" w:rsidR="00E01C24" w:rsidRDefault="00000000">
      <w:r>
        <w:t>Die ACM-Praxis ist methodisch kohärent mit der deutschen Wettbewerbszentrale-Praxis und präfiguriert die EU-weite Umsetzung der Richtlinie 2024/825/EU. DACH-Hotels, die auf niederländischen, belgischen oder internationalen Plattformen kommunizieren, sind direkt betroffen.</w:t>
      </w:r>
    </w:p>
    <w:p w14:paraId="763875B7" w14:textId="77777777" w:rsidR="00E01C24" w:rsidRDefault="00E01C24">
      <w:pPr>
        <w:spacing w:after="40"/>
      </w:pPr>
    </w:p>
    <w:p w14:paraId="6F08E19E" w14:textId="77777777" w:rsidR="00E01C24" w:rsidRDefault="00000000">
      <w:pPr>
        <w:spacing w:before="160" w:after="160"/>
      </w:pPr>
      <w:r>
        <w:rPr>
          <w:color w:val="CCCCCC"/>
          <w:sz w:val="14"/>
        </w:rPr>
        <w:t>────────────────────────────────────────────────────────────────────────────────</w:t>
      </w:r>
    </w:p>
    <w:p w14:paraId="42C45938" w14:textId="77777777" w:rsidR="00E01C24" w:rsidRDefault="00E01C24">
      <w:pPr>
        <w:spacing w:after="40"/>
      </w:pPr>
    </w:p>
    <w:p w14:paraId="019F85B3" w14:textId="77777777" w:rsidR="00E01C24" w:rsidRDefault="00000000">
      <w:pPr>
        <w:spacing w:before="160" w:after="40"/>
      </w:pPr>
      <w:r>
        <w:rPr>
          <w:b/>
          <w:color w:val="5D6D7E"/>
        </w:rPr>
        <w:t>2.7 — Europäische Tour-Operator: Flugreise-Kompensationsprogramme (diverse, 2021–2024)</w:t>
      </w:r>
    </w:p>
    <w:p w14:paraId="5FD8DB06" w14:textId="77777777" w:rsidR="00E01C24" w:rsidRDefault="00E01C24">
      <w:pPr>
        <w:spacing w:after="40"/>
      </w:pPr>
    </w:p>
    <w:p w14:paraId="1D575B76" w14:textId="77777777" w:rsidR="00E01C24" w:rsidRDefault="00000000">
      <w:r>
        <w:rPr>
          <w:b/>
        </w:rPr>
        <w:t>Fall-Typ:</w:t>
      </w:r>
      <w:r>
        <w:t xml:space="preserve"> Mehrere Abmahnungen, eine gerichtliche Entscheidung (Deutschland)</w:t>
      </w:r>
    </w:p>
    <w:p w14:paraId="3B5C7A7C" w14:textId="77777777" w:rsidR="00E01C24" w:rsidRDefault="00000000">
      <w:r>
        <w:rPr>
          <w:b/>
        </w:rPr>
        <w:t>Relevanz für DACH:</w:t>
      </w:r>
      <w:r>
        <w:t xml:space="preserve"> Hoch — Tour-Operator-Kundschaft ist wichtiger Segment für Bergresorts und Ferienhotels</w:t>
      </w:r>
    </w:p>
    <w:p w14:paraId="65D3BEDC" w14:textId="77777777" w:rsidR="00E01C24" w:rsidRDefault="00E01C24">
      <w:pPr>
        <w:spacing w:after="40"/>
      </w:pPr>
    </w:p>
    <w:p w14:paraId="074DF9A2" w14:textId="77777777" w:rsidR="00E01C24" w:rsidRDefault="00000000">
      <w:pPr>
        <w:spacing w:before="160" w:after="40"/>
      </w:pPr>
      <w:r>
        <w:rPr>
          <w:b/>
          <w:color w:val="2C3E50"/>
          <w:sz w:val="21"/>
        </w:rPr>
        <w:t>Sachverhalt (aggregiert aus mehreren Fällen):</w:t>
      </w:r>
    </w:p>
    <w:p w14:paraId="556E6B0E" w14:textId="77777777" w:rsidR="00E01C24" w:rsidRDefault="00000000">
      <w:r>
        <w:t>Mehrere europäische Tour-Operator boten Reisenden gegen Aufpreis „CO₂-neutrale" Flugreisen an. Untersucht und beanstandet wurden:</w:t>
      </w:r>
    </w:p>
    <w:p w14:paraId="080DE290" w14:textId="77777777" w:rsidR="00E01C24" w:rsidRDefault="00000000">
      <w:pPr>
        <w:pStyle w:val="Puntoelenco"/>
        <w:spacing w:after="40"/>
      </w:pPr>
      <w:r>
        <w:rPr>
          <w:sz w:val="19"/>
        </w:rPr>
        <w:t>Verwendung von Kompensationszertifikaten minderer Qualität (nicht nach Gold Standard oder VCS)</w:t>
      </w:r>
    </w:p>
    <w:p w14:paraId="17B96610" w14:textId="77777777" w:rsidR="00E01C24" w:rsidRDefault="00000000">
      <w:pPr>
        <w:pStyle w:val="Puntoelenco"/>
        <w:spacing w:after="40"/>
      </w:pPr>
      <w:r>
        <w:rPr>
          <w:sz w:val="19"/>
        </w:rPr>
        <w:t>Fehlende Transparenz über die Berechnung der kompensierten Emissionen</w:t>
      </w:r>
    </w:p>
    <w:p w14:paraId="3E8D2CAF" w14:textId="77777777" w:rsidR="00E01C24" w:rsidRDefault="00000000">
      <w:pPr>
        <w:pStyle w:val="Puntoelenco"/>
        <w:spacing w:after="40"/>
      </w:pPr>
      <w:r>
        <w:rPr>
          <w:sz w:val="19"/>
        </w:rPr>
        <w:lastRenderedPageBreak/>
        <w:t>Implikation durch Marketing, die Flugemissionen seien vollständig kompensiert, obwohl nur Scope-1-Emissionen berücksichtigt wurden</w:t>
      </w:r>
    </w:p>
    <w:p w14:paraId="48F80A3E" w14:textId="77777777" w:rsidR="00E01C24" w:rsidRDefault="00E01C24">
      <w:pPr>
        <w:spacing w:after="40"/>
      </w:pPr>
    </w:p>
    <w:p w14:paraId="6EADD01A" w14:textId="77777777" w:rsidR="00E01C24" w:rsidRDefault="00000000">
      <w:r>
        <w:t xml:space="preserve">In Deutschland entschied das LG München I (2023) in einem Urteil, dass ein Tour-Operator die Bezeichnung „klimaneutral" für Flugreisen ohne vollständige Methodenoffenlegung nicht verwenden darf. </w:t>
      </w:r>
      <w:r>
        <w:rPr>
          <w:i/>
        </w:rPr>
        <w:t>[V — Urteilstext LG München I auf: justiz.de]</w:t>
      </w:r>
    </w:p>
    <w:p w14:paraId="1D155EA6" w14:textId="77777777" w:rsidR="00E01C24" w:rsidRDefault="00E01C24">
      <w:pPr>
        <w:spacing w:after="40"/>
      </w:pPr>
    </w:p>
    <w:p w14:paraId="57DCBAAE" w14:textId="77777777" w:rsidR="00E01C24" w:rsidRDefault="00000000">
      <w:pPr>
        <w:spacing w:before="160" w:after="40"/>
      </w:pPr>
      <w:r>
        <w:rPr>
          <w:b/>
          <w:color w:val="2C3E50"/>
          <w:sz w:val="21"/>
        </w:rPr>
        <w:t>Lektion für DACH-Hotels:</w:t>
      </w:r>
    </w:p>
    <w:p w14:paraId="49F27DC7" w14:textId="77777777" w:rsidR="00E01C24" w:rsidRDefault="00000000">
      <w:r>
        <w:t>Hotels, die Kompensationsprogramme anbieten oder „klimaneutrale" Aufenthalte vermarkten, sind dem gleichen regulatorischen Risiko ausgesetzt wie Tour-Operator. Der Standard ist: vollständige Methodenoffenlegung, hochwertige Zertifikate (Gold Standard/VCS), transparente Scope-Abgrenzung.</w:t>
      </w:r>
    </w:p>
    <w:p w14:paraId="76D00997" w14:textId="77777777" w:rsidR="00E01C24" w:rsidRDefault="00E01C24">
      <w:pPr>
        <w:spacing w:after="40"/>
      </w:pPr>
    </w:p>
    <w:p w14:paraId="260CDEF1" w14:textId="77777777" w:rsidR="00E01C24" w:rsidRDefault="00000000">
      <w:pPr>
        <w:spacing w:before="160" w:after="160"/>
      </w:pPr>
      <w:r>
        <w:rPr>
          <w:color w:val="CCCCCC"/>
          <w:sz w:val="14"/>
        </w:rPr>
        <w:t>────────────────────────────────────────────────────────────────────────────────</w:t>
      </w:r>
    </w:p>
    <w:p w14:paraId="56D18B68" w14:textId="77777777" w:rsidR="00E01C24" w:rsidRDefault="00E01C24">
      <w:pPr>
        <w:spacing w:after="40"/>
      </w:pPr>
    </w:p>
    <w:p w14:paraId="3FDDF60A" w14:textId="77777777" w:rsidR="00E01C24" w:rsidRDefault="00000000">
      <w:pPr>
        <w:spacing w:before="200" w:after="60"/>
      </w:pPr>
      <w:r>
        <w:rPr>
          <w:b/>
          <w:color w:val="445A6F"/>
          <w:sz w:val="21"/>
        </w:rPr>
        <w:t>Abschnitt 3 — Muster und Typologien der Greenwashing-Verstöße</w:t>
      </w:r>
    </w:p>
    <w:p w14:paraId="4134AEA1" w14:textId="77777777" w:rsidR="00E01C24" w:rsidRDefault="00E01C24">
      <w:pPr>
        <w:spacing w:after="40"/>
      </w:pPr>
    </w:p>
    <w:p w14:paraId="1D1C3DE4" w14:textId="77777777" w:rsidR="00E01C24" w:rsidRDefault="00000000">
      <w:pPr>
        <w:spacing w:before="160" w:after="40"/>
      </w:pPr>
      <w:r>
        <w:rPr>
          <w:b/>
          <w:color w:val="5D6D7E"/>
        </w:rPr>
        <w:t>3.1 — Die sechs häufigsten Verstoßtypen im Gastgewerbe</w:t>
      </w:r>
    </w:p>
    <w:p w14:paraId="5F7F20C7" w14:textId="77777777" w:rsidR="00E01C24" w:rsidRDefault="00E01C24">
      <w:pPr>
        <w:spacing w:after="40"/>
      </w:pPr>
    </w:p>
    <w:p w14:paraId="2B19610A" w14:textId="77777777" w:rsidR="00E01C24" w:rsidRDefault="00000000">
      <w:pPr>
        <w:spacing w:before="160" w:after="40"/>
      </w:pPr>
      <w:r>
        <w:rPr>
          <w:b/>
          <w:color w:val="2C3E50"/>
          <w:sz w:val="21"/>
        </w:rPr>
        <w:t>Typ 1 — Generische Absolutaussagen:</w:t>
      </w:r>
    </w:p>
    <w:p w14:paraId="07AC81F2" w14:textId="77777777" w:rsidR="00E01C24" w:rsidRDefault="00000000">
      <w:r>
        <w:t>„Klimaneutral", „100% nachhaltig", „grünstes Hotel", „umweltfreundlich" ohne Nachweis oder externe Verifikation. Häufigster und am leichtesten angreifbarer Verstoß.</w:t>
      </w:r>
    </w:p>
    <w:p w14:paraId="0001D512" w14:textId="77777777" w:rsidR="00E01C24" w:rsidRDefault="00E01C24">
      <w:pPr>
        <w:spacing w:after="40"/>
      </w:pPr>
    </w:p>
    <w:p w14:paraId="6157B0D6" w14:textId="77777777" w:rsidR="00E01C24" w:rsidRDefault="00000000">
      <w:pPr>
        <w:spacing w:before="160" w:after="40"/>
      </w:pPr>
      <w:r>
        <w:rPr>
          <w:b/>
          <w:color w:val="2C3E50"/>
          <w:sz w:val="21"/>
        </w:rPr>
        <w:t>Typ 2 — Offset-Klimaneutralität ohne Transparenz:</w:t>
      </w:r>
    </w:p>
    <w:p w14:paraId="7C27DC67" w14:textId="77777777" w:rsidR="00E01C24" w:rsidRDefault="00000000">
      <w:r>
        <w:t>Klimaneutralitätsbehauptungen, die ausschließlich auf dem Kauf von Offset-Zertifikaten basieren — ohne eigene Emissionsreduktionen und ohne transparente Offenlegung der Methodik. Seit Richtlinie 2024/825/EU explizit verboten.</w:t>
      </w:r>
    </w:p>
    <w:p w14:paraId="203F613E" w14:textId="77777777" w:rsidR="00E01C24" w:rsidRDefault="00E01C24">
      <w:pPr>
        <w:spacing w:after="40"/>
      </w:pPr>
    </w:p>
    <w:p w14:paraId="3A824AE2" w14:textId="77777777" w:rsidR="00E01C24" w:rsidRDefault="00000000">
      <w:pPr>
        <w:spacing w:before="160" w:after="40"/>
      </w:pPr>
      <w:r>
        <w:rPr>
          <w:b/>
          <w:color w:val="2C3E50"/>
          <w:sz w:val="21"/>
        </w:rPr>
        <w:t>Typ 3 — Selektive Nachhaltigkeitskommunikation:</w:t>
      </w:r>
    </w:p>
    <w:p w14:paraId="337FA541" w14:textId="77777777" w:rsidR="00E01C24" w:rsidRDefault="00000000">
      <w:r>
        <w:t>Hervorhebung einzelner positiver Aspekte (z.B. „100% Ökostrom") bei gleichzeitigem Verschweigen wesentlicher negativer Aspekte (z.B. fossile Heizung, hohe Gästemobilität). Irreführung durch Unvollständigkeit.</w:t>
      </w:r>
    </w:p>
    <w:p w14:paraId="42F390B2" w14:textId="77777777" w:rsidR="00E01C24" w:rsidRDefault="00E01C24">
      <w:pPr>
        <w:spacing w:after="40"/>
      </w:pPr>
    </w:p>
    <w:p w14:paraId="1502CD97" w14:textId="77777777" w:rsidR="00E01C24" w:rsidRDefault="00000000">
      <w:pPr>
        <w:spacing w:before="160" w:after="40"/>
      </w:pPr>
      <w:r>
        <w:rPr>
          <w:b/>
          <w:color w:val="2C3E50"/>
          <w:sz w:val="21"/>
        </w:rPr>
        <w:t>Typ 4 — Nicht-verifizierte Produktbehauptungen:</w:t>
      </w:r>
    </w:p>
    <w:p w14:paraId="2795D3ED" w14:textId="77777777" w:rsidR="00E01C24" w:rsidRDefault="00000000">
      <w:r>
        <w:t>„Bio", „chemikalienfrei", „natürlich", „ökologisch" für Spa-Produkte, Lebensmittel oder Materialien ohne entsprechende Zertifizierung. Besonders exponiert weil leicht überprüfbar.</w:t>
      </w:r>
    </w:p>
    <w:p w14:paraId="39EFFC2C" w14:textId="77777777" w:rsidR="00E01C24" w:rsidRDefault="00E01C24">
      <w:pPr>
        <w:spacing w:after="40"/>
      </w:pPr>
    </w:p>
    <w:p w14:paraId="46A9EBFE" w14:textId="77777777" w:rsidR="00E01C24" w:rsidRDefault="00000000">
      <w:pPr>
        <w:spacing w:before="160" w:after="40"/>
      </w:pPr>
      <w:r>
        <w:rPr>
          <w:b/>
          <w:color w:val="2C3E50"/>
          <w:sz w:val="21"/>
        </w:rPr>
        <w:t>Typ 5 — Irreführende Zertifizierungskommunikation:</w:t>
      </w:r>
    </w:p>
    <w:p w14:paraId="7FCF381A" w14:textId="77777777" w:rsidR="00E01C24" w:rsidRDefault="00000000">
      <w:r>
        <w:t>Darstellung abgelaufener, suspendierter oder nicht für die kommunizierte Dienstleistung geltender Zertifizierungen. Oder: Verwendung von Logos/Symbolen, die fälschlicherweise externe Verifikation implizieren.</w:t>
      </w:r>
    </w:p>
    <w:p w14:paraId="4BA82C90" w14:textId="77777777" w:rsidR="00E01C24" w:rsidRDefault="00E01C24">
      <w:pPr>
        <w:spacing w:after="40"/>
      </w:pPr>
    </w:p>
    <w:p w14:paraId="0DC2788B" w14:textId="77777777" w:rsidR="00E01C24" w:rsidRDefault="00000000">
      <w:pPr>
        <w:spacing w:before="160" w:after="40"/>
      </w:pPr>
      <w:r>
        <w:rPr>
          <w:b/>
          <w:color w:val="2C3E50"/>
          <w:sz w:val="21"/>
        </w:rPr>
        <w:lastRenderedPageBreak/>
        <w:t>Typ 6 — Scope-Irreführung bei Kompensationsprogrammen:</w:t>
      </w:r>
    </w:p>
    <w:p w14:paraId="78971302" w14:textId="77777777" w:rsidR="00E01C24" w:rsidRDefault="00000000">
      <w:r>
        <w:t>Kompensationsprogramme, die Gästen implizieren, ihren gesamten Reise-CO₂-Fußabdruck zu kompensieren, obwohl nur ein Teil (typisch: Hotelaufenthalt ohne Anreise) berücksichtigt wird.</w:t>
      </w:r>
    </w:p>
    <w:p w14:paraId="56C11B80" w14:textId="77777777" w:rsidR="00E01C24" w:rsidRDefault="00E01C24">
      <w:pPr>
        <w:spacing w:after="40"/>
      </w:pPr>
    </w:p>
    <w:p w14:paraId="4948ED5E" w14:textId="77777777" w:rsidR="00E01C24" w:rsidRDefault="00000000">
      <w:pPr>
        <w:spacing w:before="160" w:after="40"/>
      </w:pPr>
      <w:r>
        <w:rPr>
          <w:b/>
          <w:color w:val="5D6D7E"/>
        </w:rPr>
        <w:t>3.2 — Schutzsignale eines ISO-14001:2026-Systems</w:t>
      </w:r>
    </w:p>
    <w:p w14:paraId="0DC71042" w14:textId="77777777" w:rsidR="00E01C24" w:rsidRDefault="00E01C24">
      <w:pPr>
        <w:spacing w:after="40"/>
      </w:pPr>
    </w:p>
    <w:p w14:paraId="28C7770A" w14:textId="77777777" w:rsidR="00E01C24" w:rsidRDefault="00000000">
      <w:r>
        <w:t>Ein korrekt implementiertes ISO-14001:2026-System produziert strukturell greenwashing-resistente Kommunikation durch:</w:t>
      </w:r>
    </w:p>
    <w:p w14:paraId="072E83EB" w14:textId="77777777" w:rsidR="00E01C24" w:rsidRDefault="00E01C24">
      <w:pPr>
        <w:spacing w:after="40"/>
      </w:pPr>
    </w:p>
    <w:p w14:paraId="1E877436" w14:textId="77777777" w:rsidR="00E01C24" w:rsidRDefault="00000000">
      <w:r>
        <w:rPr>
          <w:b/>
        </w:rPr>
        <w:t>Verifikation:</w:t>
      </w:r>
      <w:r>
        <w:t xml:space="preserve"> Externer akkreditierter Auditor bestätigt die Systemkonformität — alle Kommunikationen können auf diese Verifikation verweisen.</w:t>
      </w:r>
    </w:p>
    <w:p w14:paraId="4D820B0A" w14:textId="77777777" w:rsidR="00E01C24" w:rsidRDefault="00E01C24">
      <w:pPr>
        <w:spacing w:after="40"/>
      </w:pPr>
    </w:p>
    <w:p w14:paraId="10EE6D28" w14:textId="77777777" w:rsidR="00E01C24" w:rsidRDefault="00000000">
      <w:r>
        <w:rPr>
          <w:b/>
        </w:rPr>
        <w:t>Spezifizität:</w:t>
      </w:r>
      <w:r>
        <w:t xml:space="preserve"> Das System fordert messbare Ziele und KPIs — Kommunikation wird automatisch spezifisch und quantifiziert statt generisch.</w:t>
      </w:r>
    </w:p>
    <w:p w14:paraId="25DE47F0" w14:textId="77777777" w:rsidR="00E01C24" w:rsidRDefault="00E01C24">
      <w:pPr>
        <w:spacing w:after="40"/>
      </w:pPr>
    </w:p>
    <w:p w14:paraId="5B7A82B3" w14:textId="77777777" w:rsidR="00E01C24" w:rsidRDefault="00000000">
      <w:r>
        <w:rPr>
          <w:b/>
        </w:rPr>
        <w:t>Konsistenz:</w:t>
      </w:r>
      <w:r>
        <w:t xml:space="preserve"> Das System fordert Kohärenz zwischen erklärter Politik und operativer Realität — die regelmäßige Managementbewertung verhindert systematische Diskrepanzen.</w:t>
      </w:r>
    </w:p>
    <w:p w14:paraId="05F4F5EE" w14:textId="77777777" w:rsidR="00E01C24" w:rsidRDefault="00E01C24">
      <w:pPr>
        <w:spacing w:after="40"/>
      </w:pPr>
    </w:p>
    <w:p w14:paraId="218B6A54" w14:textId="77777777" w:rsidR="00E01C24" w:rsidRDefault="00000000">
      <w:r>
        <w:rPr>
          <w:b/>
        </w:rPr>
        <w:t>Daten-Governance:</w:t>
      </w:r>
      <w:r>
        <w:t xml:space="preserve"> Das System fordert verifizierbare Daten — alle Kommunikationen können auf die zugrundeliegende Datenbasis verweisen.</w:t>
      </w:r>
    </w:p>
    <w:p w14:paraId="7C7ADB33" w14:textId="77777777" w:rsidR="00E01C24" w:rsidRDefault="00E01C24">
      <w:pPr>
        <w:spacing w:after="40"/>
      </w:pPr>
    </w:p>
    <w:p w14:paraId="103826B2" w14:textId="77777777" w:rsidR="00E01C24" w:rsidRDefault="00000000">
      <w:r>
        <w:rPr>
          <w:b/>
        </w:rPr>
        <w:t>Scope-Transparenz:</w:t>
      </w:r>
      <w:r>
        <w:t xml:space="preserve"> Das System fordert explizite Abgrenzung des Anwendungsbereichs — Scope-Irreführungen werden systemisch verhindert.</w:t>
      </w:r>
    </w:p>
    <w:p w14:paraId="5531352F" w14:textId="77777777" w:rsidR="00E01C24" w:rsidRDefault="00E01C24">
      <w:pPr>
        <w:spacing w:after="40"/>
      </w:pPr>
    </w:p>
    <w:p w14:paraId="5BD22098" w14:textId="77777777" w:rsidR="00E01C24" w:rsidRDefault="00000000">
      <w:pPr>
        <w:spacing w:before="160" w:after="160"/>
      </w:pPr>
      <w:r>
        <w:rPr>
          <w:color w:val="CCCCCC"/>
          <w:sz w:val="14"/>
        </w:rPr>
        <w:t>────────────────────────────────────────────────────────────────────────────────</w:t>
      </w:r>
    </w:p>
    <w:p w14:paraId="27393CDD" w14:textId="77777777" w:rsidR="00E01C24" w:rsidRDefault="00E01C24">
      <w:pPr>
        <w:spacing w:after="40"/>
      </w:pPr>
    </w:p>
    <w:p w14:paraId="59E0B55D" w14:textId="77777777" w:rsidR="00E01C24" w:rsidRDefault="00000000">
      <w:pPr>
        <w:spacing w:before="200" w:after="60"/>
      </w:pPr>
      <w:r>
        <w:rPr>
          <w:b/>
          <w:color w:val="445A6F"/>
          <w:sz w:val="21"/>
        </w:rPr>
        <w:t>Abschnitt 4 — Schutzleitfaden: Greenwashing-resistente Kommunikation</w:t>
      </w:r>
    </w:p>
    <w:p w14:paraId="1C9A8AC7" w14:textId="77777777" w:rsidR="00E01C24" w:rsidRDefault="00E01C24">
      <w:pPr>
        <w:spacing w:after="40"/>
      </w:pPr>
    </w:p>
    <w:p w14:paraId="6FCAAD89" w14:textId="77777777" w:rsidR="00E01C24" w:rsidRDefault="00000000">
      <w:pPr>
        <w:spacing w:before="160" w:after="40"/>
      </w:pPr>
      <w:r>
        <w:rPr>
          <w:b/>
          <w:color w:val="5D6D7E"/>
        </w:rPr>
        <w:t>4.1 — Der Vier-Filter-Test</w:t>
      </w:r>
    </w:p>
    <w:p w14:paraId="4D705848" w14:textId="77777777" w:rsidR="00E01C24" w:rsidRDefault="00E01C24">
      <w:pPr>
        <w:spacing w:after="40"/>
      </w:pPr>
    </w:p>
    <w:p w14:paraId="69F79134" w14:textId="77777777" w:rsidR="00E01C24" w:rsidRDefault="00000000">
      <w:r>
        <w:t>Vor jeder externen Nachhaltigkeitskommunikation den Vier-Filter-Test anwenden:</w:t>
      </w:r>
    </w:p>
    <w:p w14:paraId="598A69EE" w14:textId="77777777" w:rsidR="00E01C24" w:rsidRDefault="00E01C24">
      <w:pPr>
        <w:spacing w:after="40"/>
      </w:pPr>
    </w:p>
    <w:p w14:paraId="2E0EBAD6" w14:textId="77777777" w:rsidR="00E01C24" w:rsidRDefault="00000000">
      <w:pPr>
        <w:spacing w:before="160" w:after="40"/>
      </w:pPr>
      <w:r>
        <w:rPr>
          <w:b/>
          <w:color w:val="2C3E50"/>
          <w:sz w:val="21"/>
        </w:rPr>
        <w:t>Filter 1 — Spezifizitätstest:</w:t>
      </w:r>
    </w:p>
    <w:p w14:paraId="06226263" w14:textId="77777777" w:rsidR="00E01C24" w:rsidRDefault="00000000">
      <w:r>
        <w:t>Ist die Aussage spezifisch und quantifiziert? „Wir haben unsere Scope-1+2-Emissionen um 23% gegenüber 2022 reduziert" besteht. „Wir sind nachhaltig" besteht nicht.</w:t>
      </w:r>
    </w:p>
    <w:p w14:paraId="70251DBE" w14:textId="77777777" w:rsidR="00E01C24" w:rsidRDefault="00E01C24">
      <w:pPr>
        <w:spacing w:after="40"/>
      </w:pPr>
    </w:p>
    <w:p w14:paraId="5AF3018D" w14:textId="77777777" w:rsidR="00E01C24" w:rsidRDefault="00000000">
      <w:pPr>
        <w:spacing w:before="160" w:after="40"/>
      </w:pPr>
      <w:r>
        <w:rPr>
          <w:b/>
          <w:color w:val="2C3E50"/>
          <w:sz w:val="21"/>
        </w:rPr>
        <w:t>Filter 2 — Verifikationstest:</w:t>
      </w:r>
    </w:p>
    <w:p w14:paraId="378F5E0F" w14:textId="77777777" w:rsidR="00E01C24" w:rsidRDefault="00000000">
      <w:r>
        <w:t>Ist die Aussage durch externe Drittpartei verifiziert? ISO-14001-Zertifikat, EU-Ecolabel, externe Nachhaltigkeitsbericht-Verifikation durch Wirtschaftsprüfer. Wenn nein: die Aussage als „ungeprüfte Eigenaussage" kennzeichnen oder weglassen.</w:t>
      </w:r>
    </w:p>
    <w:p w14:paraId="12182524" w14:textId="77777777" w:rsidR="00E01C24" w:rsidRDefault="00E01C24">
      <w:pPr>
        <w:spacing w:after="40"/>
      </w:pPr>
    </w:p>
    <w:p w14:paraId="435598B1" w14:textId="77777777" w:rsidR="00E01C24" w:rsidRDefault="00000000">
      <w:pPr>
        <w:spacing w:before="160" w:after="40"/>
      </w:pPr>
      <w:r>
        <w:rPr>
          <w:b/>
          <w:color w:val="2C3E50"/>
          <w:sz w:val="21"/>
        </w:rPr>
        <w:t>Filter 3 — Vollständigkeitstest:</w:t>
      </w:r>
    </w:p>
    <w:p w14:paraId="45CF8422" w14:textId="77777777" w:rsidR="00E01C24" w:rsidRDefault="00000000">
      <w:r>
        <w:t>Werden wesentliche negative Aspekte verschwiegen? Ein Hotel, das „100% Ökostrom" kommuniziert, aber mit Heizöl heizt, muss auch die fossile Heizung erwähnen oder die Aussage auf den Strombezug beschränken.</w:t>
      </w:r>
    </w:p>
    <w:p w14:paraId="450CF148" w14:textId="77777777" w:rsidR="00E01C24" w:rsidRDefault="00E01C24">
      <w:pPr>
        <w:spacing w:after="40"/>
      </w:pPr>
    </w:p>
    <w:p w14:paraId="1C912456" w14:textId="77777777" w:rsidR="00E01C24" w:rsidRDefault="00000000">
      <w:pPr>
        <w:spacing w:before="160" w:after="40"/>
      </w:pPr>
      <w:r>
        <w:rPr>
          <w:b/>
          <w:color w:val="2C3E50"/>
          <w:sz w:val="21"/>
        </w:rPr>
        <w:t>Filter 4 — Scope-Test:</w:t>
      </w:r>
    </w:p>
    <w:p w14:paraId="072BAE2B" w14:textId="77777777" w:rsidR="00E01C24" w:rsidRDefault="00000000">
      <w:r>
        <w:t>Ist klar, worauf sich die Aussage bezieht? „Klimaneutral" für welchen Scope? Hotel-only? Inklusive Anreise der Gäste? Inklusive Lieferkette? Die Abgrenzung muss explizit sein.</w:t>
      </w:r>
    </w:p>
    <w:p w14:paraId="31C56091" w14:textId="77777777" w:rsidR="00E01C24" w:rsidRDefault="00E01C24">
      <w:pPr>
        <w:spacing w:after="40"/>
      </w:pPr>
    </w:p>
    <w:p w14:paraId="7C16764F" w14:textId="77777777" w:rsidR="00E01C24" w:rsidRDefault="00000000">
      <w:pPr>
        <w:spacing w:before="160" w:after="40"/>
      </w:pPr>
      <w:r>
        <w:rPr>
          <w:b/>
          <w:color w:val="5D6D7E"/>
        </w:rPr>
        <w:t>4.2 — Sichere Formulierungen vs. riskante Formulierungen</w:t>
      </w:r>
    </w:p>
    <w:p w14:paraId="04C5BA86" w14:textId="77777777" w:rsidR="00E01C24" w:rsidRDefault="00E01C24">
      <w:pPr>
        <w:spacing w:after="40"/>
      </w:pPr>
    </w:p>
    <w:tbl>
      <w:tblPr>
        <w:tblStyle w:val="Grigliatabella"/>
        <w:tblW w:w="0" w:type="auto"/>
        <w:tblLook w:val="04A0" w:firstRow="1" w:lastRow="0" w:firstColumn="1" w:lastColumn="0" w:noHBand="0" w:noVBand="1"/>
      </w:tblPr>
      <w:tblGrid>
        <w:gridCol w:w="4981"/>
        <w:gridCol w:w="4981"/>
      </w:tblGrid>
      <w:tr w:rsidR="00E01C24" w14:paraId="25AB8F1A" w14:textId="77777777">
        <w:tc>
          <w:tcPr>
            <w:tcW w:w="4986" w:type="dxa"/>
            <w:shd w:val="clear" w:color="auto" w:fill="2C3E50"/>
          </w:tcPr>
          <w:p w14:paraId="30916A0B" w14:textId="77777777" w:rsidR="00E01C24" w:rsidRDefault="00000000">
            <w:r>
              <w:rPr>
                <w:b/>
                <w:color w:val="FFFFFF"/>
                <w:sz w:val="17"/>
              </w:rPr>
              <w:t>Riskante Formulierung</w:t>
            </w:r>
          </w:p>
        </w:tc>
        <w:tc>
          <w:tcPr>
            <w:tcW w:w="4986" w:type="dxa"/>
            <w:shd w:val="clear" w:color="auto" w:fill="2C3E50"/>
          </w:tcPr>
          <w:p w14:paraId="559DE6C9" w14:textId="77777777" w:rsidR="00E01C24" w:rsidRDefault="00000000">
            <w:r>
              <w:rPr>
                <w:b/>
                <w:color w:val="FFFFFF"/>
                <w:sz w:val="17"/>
              </w:rPr>
              <w:t>Sichere Alternative</w:t>
            </w:r>
          </w:p>
        </w:tc>
      </w:tr>
      <w:tr w:rsidR="00E01C24" w14:paraId="76013433" w14:textId="77777777">
        <w:tc>
          <w:tcPr>
            <w:tcW w:w="4986" w:type="dxa"/>
          </w:tcPr>
          <w:p w14:paraId="419DA95E" w14:textId="77777777" w:rsidR="00E01C24" w:rsidRDefault="00000000">
            <w:r>
              <w:rPr>
                <w:sz w:val="17"/>
              </w:rPr>
              <w:t>„Wir sind klimaneutral"</w:t>
            </w:r>
          </w:p>
        </w:tc>
        <w:tc>
          <w:tcPr>
            <w:tcW w:w="4986" w:type="dxa"/>
          </w:tcPr>
          <w:p w14:paraId="58775B94" w14:textId="77777777" w:rsidR="00E01C24" w:rsidRDefault="00000000">
            <w:r>
              <w:rPr>
                <w:sz w:val="17"/>
              </w:rPr>
              <w:t>„Wir haben unsere Scope-1+2-Emissionen um X% reduziert (Basisjahr Y). Verbleibende Z tCO₂e werden durch [Methodik] kompensiert."</w:t>
            </w:r>
          </w:p>
        </w:tc>
      </w:tr>
      <w:tr w:rsidR="00E01C24" w14:paraId="7A5F6496" w14:textId="77777777">
        <w:tc>
          <w:tcPr>
            <w:tcW w:w="4986" w:type="dxa"/>
            <w:shd w:val="clear" w:color="auto" w:fill="F8F9FA"/>
          </w:tcPr>
          <w:p w14:paraId="273C76E6" w14:textId="77777777" w:rsidR="00E01C24" w:rsidRDefault="00000000">
            <w:r>
              <w:rPr>
                <w:sz w:val="17"/>
              </w:rPr>
              <w:t>„100% nachhaltig"</w:t>
            </w:r>
          </w:p>
        </w:tc>
        <w:tc>
          <w:tcPr>
            <w:tcW w:w="4986" w:type="dxa"/>
            <w:shd w:val="clear" w:color="auto" w:fill="F8F9FA"/>
          </w:tcPr>
          <w:p w14:paraId="55AA1E75" w14:textId="77777777" w:rsidR="00E01C24" w:rsidRDefault="00000000">
            <w:r>
              <w:rPr>
                <w:sz w:val="17"/>
              </w:rPr>
              <w:t>„ISO-14001:2026-zertifiziert seit [Jahr]. Zertifikats-Nr.: [Nummer]"</w:t>
            </w:r>
          </w:p>
        </w:tc>
      </w:tr>
      <w:tr w:rsidR="00E01C24" w14:paraId="467B61A2" w14:textId="77777777">
        <w:tc>
          <w:tcPr>
            <w:tcW w:w="4986" w:type="dxa"/>
          </w:tcPr>
          <w:p w14:paraId="38A2D8E3" w14:textId="77777777" w:rsidR="00E01C24" w:rsidRDefault="00000000">
            <w:r>
              <w:rPr>
                <w:sz w:val="17"/>
              </w:rPr>
              <w:t>„Grünstes Hotel der Region"</w:t>
            </w:r>
          </w:p>
        </w:tc>
        <w:tc>
          <w:tcPr>
            <w:tcW w:w="4986" w:type="dxa"/>
          </w:tcPr>
          <w:p w14:paraId="5A6742D2" w14:textId="77777777" w:rsidR="00E01C24" w:rsidRDefault="00000000">
            <w:r>
              <w:rPr>
                <w:sz w:val="17"/>
              </w:rPr>
              <w:t>Keine Superlativ-Aussagen ohne objektiven Vergleichsstandard</w:t>
            </w:r>
          </w:p>
        </w:tc>
      </w:tr>
      <w:tr w:rsidR="00E01C24" w14:paraId="07D06A71" w14:textId="77777777">
        <w:tc>
          <w:tcPr>
            <w:tcW w:w="4986" w:type="dxa"/>
            <w:shd w:val="clear" w:color="auto" w:fill="F8F9FA"/>
          </w:tcPr>
          <w:p w14:paraId="065D5A8C" w14:textId="77777777" w:rsidR="00E01C24" w:rsidRDefault="00000000">
            <w:r>
              <w:rPr>
                <w:sz w:val="17"/>
              </w:rPr>
              <w:t>„Chemikalienfrei"</w:t>
            </w:r>
          </w:p>
        </w:tc>
        <w:tc>
          <w:tcPr>
            <w:tcW w:w="4986" w:type="dxa"/>
            <w:shd w:val="clear" w:color="auto" w:fill="F8F9FA"/>
          </w:tcPr>
          <w:p w14:paraId="46676667" w14:textId="77777777" w:rsidR="00E01C24" w:rsidRDefault="00000000">
            <w:r>
              <w:rPr>
                <w:sz w:val="17"/>
              </w:rPr>
              <w:t>„Spa-Produkte nach COSMOS Organic-Standard zertifiziert"</w:t>
            </w:r>
          </w:p>
        </w:tc>
      </w:tr>
      <w:tr w:rsidR="00E01C24" w14:paraId="1120B3CD" w14:textId="77777777">
        <w:tc>
          <w:tcPr>
            <w:tcW w:w="4986" w:type="dxa"/>
          </w:tcPr>
          <w:p w14:paraId="61902F8A" w14:textId="77777777" w:rsidR="00E01C24" w:rsidRDefault="00000000">
            <w:r>
              <w:rPr>
                <w:sz w:val="17"/>
              </w:rPr>
              <w:t>„Umweltfreundlich"</w:t>
            </w:r>
          </w:p>
        </w:tc>
        <w:tc>
          <w:tcPr>
            <w:tcW w:w="4986" w:type="dxa"/>
          </w:tcPr>
          <w:p w14:paraId="737CADB3" w14:textId="77777777" w:rsidR="00E01C24" w:rsidRDefault="00000000">
            <w:r>
              <w:rPr>
                <w:sz w:val="17"/>
              </w:rPr>
              <w:t>Spezifische, quantifizierte Aussage zum betreffenden Aspekt</w:t>
            </w:r>
          </w:p>
        </w:tc>
      </w:tr>
      <w:tr w:rsidR="00E01C24" w14:paraId="381B553C" w14:textId="77777777">
        <w:tc>
          <w:tcPr>
            <w:tcW w:w="4986" w:type="dxa"/>
            <w:shd w:val="clear" w:color="auto" w:fill="F8F9FA"/>
          </w:tcPr>
          <w:p w14:paraId="2E9E780B" w14:textId="77777777" w:rsidR="00E01C24" w:rsidRDefault="00000000">
            <w:r>
              <w:rPr>
                <w:sz w:val="17"/>
              </w:rPr>
              <w:t>„CO₂-neutraler Aufenthalt"</w:t>
            </w:r>
          </w:p>
        </w:tc>
        <w:tc>
          <w:tcPr>
            <w:tcW w:w="4986" w:type="dxa"/>
            <w:shd w:val="clear" w:color="auto" w:fill="F8F9FA"/>
          </w:tcPr>
          <w:p w14:paraId="10701D29" w14:textId="77777777" w:rsidR="00E01C24" w:rsidRDefault="00000000">
            <w:r>
              <w:rPr>
                <w:sz w:val="17"/>
              </w:rPr>
              <w:t>„Hotelbezogene Emissionen [X kgCO₂e/Gästenacht, Scope 1+2] nach [Methodik] durch [Gold-Standard-Zertifikat] kompensiert. Anreise nicht eingeschlossen."</w:t>
            </w:r>
          </w:p>
        </w:tc>
      </w:tr>
      <w:tr w:rsidR="00E01C24" w14:paraId="71CA999B" w14:textId="77777777">
        <w:tc>
          <w:tcPr>
            <w:tcW w:w="4986" w:type="dxa"/>
          </w:tcPr>
          <w:p w14:paraId="0BA1A023" w14:textId="77777777" w:rsidR="00E01C24" w:rsidRDefault="00000000">
            <w:r>
              <w:rPr>
                <w:sz w:val="17"/>
              </w:rPr>
              <w:t>„Wir schützen den Wald"</w:t>
            </w:r>
          </w:p>
        </w:tc>
        <w:tc>
          <w:tcPr>
            <w:tcW w:w="4986" w:type="dxa"/>
          </w:tcPr>
          <w:p w14:paraId="5289212D" w14:textId="77777777" w:rsidR="00E01C24" w:rsidRDefault="00000000">
            <w:r>
              <w:rPr>
                <w:sz w:val="17"/>
              </w:rPr>
              <w:t>„Wir unterstützen [konkretes Projekt nach Gold Standard] — [Link zum Projektnachweis]"</w:t>
            </w:r>
          </w:p>
        </w:tc>
      </w:tr>
      <w:tr w:rsidR="00E01C24" w14:paraId="4CD9015F" w14:textId="77777777">
        <w:tc>
          <w:tcPr>
            <w:tcW w:w="4986" w:type="dxa"/>
            <w:shd w:val="clear" w:color="auto" w:fill="F8F9FA"/>
          </w:tcPr>
          <w:p w14:paraId="0473BC7C" w14:textId="77777777" w:rsidR="00E01C24" w:rsidRDefault="00000000">
            <w:r>
              <w:rPr>
                <w:sz w:val="17"/>
              </w:rPr>
              <w:t>„Bio-Küche"</w:t>
            </w:r>
          </w:p>
        </w:tc>
        <w:tc>
          <w:tcPr>
            <w:tcW w:w="4986" w:type="dxa"/>
            <w:shd w:val="clear" w:color="auto" w:fill="F8F9FA"/>
          </w:tcPr>
          <w:p w14:paraId="6712872F" w14:textId="77777777" w:rsidR="00E01C24" w:rsidRDefault="00000000">
            <w:r>
              <w:rPr>
                <w:sz w:val="17"/>
              </w:rPr>
              <w:t>„X% der Zutaten nach EU-Bio-Verordnung (EG 834/2007) zertifiziert. Bio-Anteil variiert saisonbedingt."</w:t>
            </w:r>
          </w:p>
        </w:tc>
      </w:tr>
    </w:tbl>
    <w:p w14:paraId="3C16778C" w14:textId="77777777" w:rsidR="00E01C24" w:rsidRDefault="00E01C24"/>
    <w:p w14:paraId="44F50E20" w14:textId="77777777" w:rsidR="00E01C24" w:rsidRDefault="00E01C24">
      <w:pPr>
        <w:spacing w:after="40"/>
      </w:pPr>
    </w:p>
    <w:p w14:paraId="082BBA6B" w14:textId="77777777" w:rsidR="00E01C24" w:rsidRDefault="00000000">
      <w:pPr>
        <w:spacing w:before="160" w:after="40"/>
      </w:pPr>
      <w:r>
        <w:rPr>
          <w:b/>
          <w:color w:val="5D6D7E"/>
        </w:rPr>
        <w:t>4.3 — Dokumentationspflichten</w:t>
      </w:r>
    </w:p>
    <w:p w14:paraId="109B57B7" w14:textId="77777777" w:rsidR="00E01C24" w:rsidRDefault="00E01C24">
      <w:pPr>
        <w:spacing w:after="40"/>
      </w:pPr>
    </w:p>
    <w:p w14:paraId="3280CDD7" w14:textId="77777777" w:rsidR="00E01C24" w:rsidRDefault="00000000">
      <w:r>
        <w:t>Für jede extern kommunizierte Nachhaltigkeitsaussage sollte intern dokumentiert sein:</w:t>
      </w:r>
    </w:p>
    <w:p w14:paraId="12657A17" w14:textId="77777777" w:rsidR="00E01C24" w:rsidRDefault="00E01C24">
      <w:pPr>
        <w:spacing w:after="40"/>
      </w:pPr>
    </w:p>
    <w:p w14:paraId="5A0974AF" w14:textId="77777777" w:rsidR="00E01C24" w:rsidRDefault="00000000">
      <w:pPr>
        <w:pStyle w:val="Puntoelenco"/>
        <w:spacing w:after="40"/>
      </w:pPr>
      <w:r>
        <w:rPr>
          <w:sz w:val="19"/>
        </w:rPr>
        <w:t>Datengrundlage der Aussage (Quelle, Datum, Verantwortlicher)</w:t>
      </w:r>
    </w:p>
    <w:p w14:paraId="37CE3D7C" w14:textId="77777777" w:rsidR="00E01C24" w:rsidRDefault="00000000">
      <w:pPr>
        <w:pStyle w:val="Puntoelenco"/>
        <w:spacing w:after="40"/>
      </w:pPr>
      <w:r>
        <w:rPr>
          <w:sz w:val="19"/>
        </w:rPr>
        <w:t>Berechnungsmethodik (wenn relevant)</w:t>
      </w:r>
    </w:p>
    <w:p w14:paraId="7E1984B3" w14:textId="77777777" w:rsidR="00E01C24" w:rsidRDefault="00000000">
      <w:pPr>
        <w:pStyle w:val="Puntoelenco"/>
        <w:spacing w:after="40"/>
      </w:pPr>
      <w:r>
        <w:rPr>
          <w:sz w:val="19"/>
        </w:rPr>
        <w:t>Externe Verifikation (wenn vorhanden)</w:t>
      </w:r>
    </w:p>
    <w:p w14:paraId="3404D23F" w14:textId="77777777" w:rsidR="00E01C24" w:rsidRDefault="00000000">
      <w:pPr>
        <w:pStyle w:val="Puntoelenco"/>
        <w:spacing w:after="40"/>
      </w:pPr>
      <w:r>
        <w:rPr>
          <w:sz w:val="19"/>
        </w:rPr>
        <w:t>Abgrenzung/Scope der Aussage</w:t>
      </w:r>
    </w:p>
    <w:p w14:paraId="3802813F" w14:textId="77777777" w:rsidR="00E01C24" w:rsidRDefault="00000000">
      <w:pPr>
        <w:pStyle w:val="Puntoelenco"/>
        <w:spacing w:after="40"/>
      </w:pPr>
      <w:r>
        <w:rPr>
          <w:sz w:val="19"/>
        </w:rPr>
        <w:t>Datum der letzten Verifikation/Aktualisierung</w:t>
      </w:r>
    </w:p>
    <w:p w14:paraId="532516DE" w14:textId="77777777" w:rsidR="00E01C24" w:rsidRDefault="00000000">
      <w:pPr>
        <w:pStyle w:val="Puntoelenco"/>
        <w:spacing w:after="40"/>
      </w:pPr>
      <w:r>
        <w:rPr>
          <w:sz w:val="19"/>
        </w:rPr>
        <w:t>Verantwortlicher für die Kommunikationspflege</w:t>
      </w:r>
    </w:p>
    <w:p w14:paraId="50EB1957" w14:textId="77777777" w:rsidR="00E01C24" w:rsidRDefault="00E01C24">
      <w:pPr>
        <w:spacing w:after="40"/>
      </w:pPr>
    </w:p>
    <w:p w14:paraId="6637FE83" w14:textId="77777777" w:rsidR="00E01C24" w:rsidRDefault="00000000">
      <w:r>
        <w:t>Diese Dokumentation ist die erste Verteidigungslinie bei einer Abmahnung oder behördlichen Anfrage.</w:t>
      </w:r>
    </w:p>
    <w:p w14:paraId="0D2BD49D" w14:textId="77777777" w:rsidR="00E01C24" w:rsidRDefault="00E01C24">
      <w:pPr>
        <w:spacing w:after="40"/>
      </w:pPr>
    </w:p>
    <w:p w14:paraId="65884986" w14:textId="77777777" w:rsidR="00E01C24" w:rsidRDefault="00000000">
      <w:pPr>
        <w:spacing w:before="160" w:after="160"/>
      </w:pPr>
      <w:r>
        <w:rPr>
          <w:color w:val="CCCCCC"/>
          <w:sz w:val="14"/>
        </w:rPr>
        <w:t>────────────────────────────────────────────────────────────────────────────────</w:t>
      </w:r>
    </w:p>
    <w:p w14:paraId="38798640" w14:textId="77777777" w:rsidR="00E01C24" w:rsidRDefault="00E01C24">
      <w:pPr>
        <w:spacing w:after="40"/>
      </w:pPr>
    </w:p>
    <w:p w14:paraId="292026A9" w14:textId="77777777" w:rsidR="00E01C24" w:rsidRDefault="00000000">
      <w:pPr>
        <w:spacing w:before="200" w:after="60"/>
      </w:pPr>
      <w:r>
        <w:rPr>
          <w:b/>
          <w:color w:val="445A6F"/>
          <w:sz w:val="21"/>
        </w:rPr>
        <w:lastRenderedPageBreak/>
        <w:t>Abschnitt 5 — Kostenrahmen von Greenwashing-Sanktionen</w:t>
      </w:r>
    </w:p>
    <w:p w14:paraId="5177D9F7" w14:textId="77777777" w:rsidR="00E01C24" w:rsidRDefault="00E01C24">
      <w:pPr>
        <w:spacing w:after="40"/>
      </w:pPr>
    </w:p>
    <w:p w14:paraId="7DF1B7E3" w14:textId="77777777" w:rsidR="00E01C24" w:rsidRDefault="00000000">
      <w:pPr>
        <w:spacing w:before="160" w:after="40"/>
      </w:pPr>
      <w:r>
        <w:rPr>
          <w:b/>
          <w:color w:val="5D6D7E"/>
        </w:rPr>
        <w:t>5.1 — Direkte Kosten</w:t>
      </w:r>
    </w:p>
    <w:p w14:paraId="3D287387" w14:textId="77777777" w:rsidR="00E01C24" w:rsidRDefault="00E01C24">
      <w:pPr>
        <w:spacing w:after="40"/>
      </w:pPr>
    </w:p>
    <w:tbl>
      <w:tblPr>
        <w:tblStyle w:val="Grigliatabella"/>
        <w:tblW w:w="0" w:type="auto"/>
        <w:tblLook w:val="04A0" w:firstRow="1" w:lastRow="0" w:firstColumn="1" w:lastColumn="0" w:noHBand="0" w:noVBand="1"/>
      </w:tblPr>
      <w:tblGrid>
        <w:gridCol w:w="3321"/>
        <w:gridCol w:w="3320"/>
        <w:gridCol w:w="3321"/>
      </w:tblGrid>
      <w:tr w:rsidR="00E01C24" w14:paraId="7E265CBA" w14:textId="77777777">
        <w:tc>
          <w:tcPr>
            <w:tcW w:w="3324" w:type="dxa"/>
            <w:shd w:val="clear" w:color="auto" w:fill="2C3E50"/>
          </w:tcPr>
          <w:p w14:paraId="53E4E9D1" w14:textId="77777777" w:rsidR="00E01C24" w:rsidRDefault="00000000">
            <w:r>
              <w:rPr>
                <w:b/>
                <w:color w:val="FFFFFF"/>
                <w:sz w:val="17"/>
              </w:rPr>
              <w:t>Sanktionstyp</w:t>
            </w:r>
          </w:p>
        </w:tc>
        <w:tc>
          <w:tcPr>
            <w:tcW w:w="3324" w:type="dxa"/>
            <w:shd w:val="clear" w:color="auto" w:fill="2C3E50"/>
          </w:tcPr>
          <w:p w14:paraId="0FEAE6B9" w14:textId="77777777" w:rsidR="00E01C24" w:rsidRDefault="00000000">
            <w:r>
              <w:rPr>
                <w:b/>
                <w:color w:val="FFFFFF"/>
                <w:sz w:val="17"/>
              </w:rPr>
              <w:t>Typischer Kostenrahmen</w:t>
            </w:r>
          </w:p>
        </w:tc>
        <w:tc>
          <w:tcPr>
            <w:tcW w:w="3324" w:type="dxa"/>
            <w:shd w:val="clear" w:color="auto" w:fill="2C3E50"/>
          </w:tcPr>
          <w:p w14:paraId="41A1FAFC" w14:textId="77777777" w:rsidR="00E01C24" w:rsidRDefault="00000000">
            <w:r>
              <w:rPr>
                <w:b/>
                <w:color w:val="FFFFFF"/>
                <w:sz w:val="17"/>
              </w:rPr>
              <w:t>Einflussfaktoren</w:t>
            </w:r>
          </w:p>
        </w:tc>
      </w:tr>
      <w:tr w:rsidR="00E01C24" w14:paraId="763B0288" w14:textId="77777777">
        <w:tc>
          <w:tcPr>
            <w:tcW w:w="3324" w:type="dxa"/>
          </w:tcPr>
          <w:p w14:paraId="20C03AD7" w14:textId="77777777" w:rsidR="00E01C24" w:rsidRDefault="00000000">
            <w:r>
              <w:rPr>
                <w:sz w:val="17"/>
              </w:rPr>
              <w:t>Wettbewerbszentrale-Abmahnung (DE)</w:t>
            </w:r>
          </w:p>
        </w:tc>
        <w:tc>
          <w:tcPr>
            <w:tcW w:w="3324" w:type="dxa"/>
          </w:tcPr>
          <w:p w14:paraId="099E19E8" w14:textId="77777777" w:rsidR="00E01C24" w:rsidRDefault="00000000">
            <w:r>
              <w:rPr>
                <w:sz w:val="17"/>
              </w:rPr>
              <w:t>2.000–8.000 € (Verfahrenskosten)</w:t>
            </w:r>
          </w:p>
        </w:tc>
        <w:tc>
          <w:tcPr>
            <w:tcW w:w="3324" w:type="dxa"/>
          </w:tcPr>
          <w:p w14:paraId="11549DEB" w14:textId="77777777" w:rsidR="00E01C24" w:rsidRDefault="00000000">
            <w:r>
              <w:rPr>
                <w:sz w:val="17"/>
              </w:rPr>
              <w:t>Schwere des Verstoßes, Unternehmensgröße</w:t>
            </w:r>
          </w:p>
        </w:tc>
      </w:tr>
      <w:tr w:rsidR="00E01C24" w14:paraId="0DE369F7" w14:textId="77777777">
        <w:tc>
          <w:tcPr>
            <w:tcW w:w="3324" w:type="dxa"/>
            <w:shd w:val="clear" w:color="auto" w:fill="F8F9FA"/>
          </w:tcPr>
          <w:p w14:paraId="50DD0428" w14:textId="77777777" w:rsidR="00E01C24" w:rsidRDefault="00000000">
            <w:r>
              <w:rPr>
                <w:sz w:val="17"/>
              </w:rPr>
              <w:t>Anwaltskosten Abwehr</w:t>
            </w:r>
          </w:p>
        </w:tc>
        <w:tc>
          <w:tcPr>
            <w:tcW w:w="3324" w:type="dxa"/>
            <w:shd w:val="clear" w:color="auto" w:fill="F8F9FA"/>
          </w:tcPr>
          <w:p w14:paraId="49F549F9" w14:textId="77777777" w:rsidR="00E01C24" w:rsidRDefault="00000000">
            <w:r>
              <w:rPr>
                <w:sz w:val="17"/>
              </w:rPr>
              <w:t>5.000–25.000 €</w:t>
            </w:r>
          </w:p>
        </w:tc>
        <w:tc>
          <w:tcPr>
            <w:tcW w:w="3324" w:type="dxa"/>
            <w:shd w:val="clear" w:color="auto" w:fill="F8F9FA"/>
          </w:tcPr>
          <w:p w14:paraId="6223AE52" w14:textId="77777777" w:rsidR="00E01C24" w:rsidRDefault="00000000">
            <w:r>
              <w:rPr>
                <w:sz w:val="17"/>
              </w:rPr>
              <w:t>Komplexität, Instanzen</w:t>
            </w:r>
          </w:p>
        </w:tc>
      </w:tr>
      <w:tr w:rsidR="00E01C24" w14:paraId="3197A895" w14:textId="77777777">
        <w:tc>
          <w:tcPr>
            <w:tcW w:w="3324" w:type="dxa"/>
          </w:tcPr>
          <w:p w14:paraId="6864EAF7" w14:textId="77777777" w:rsidR="00E01C24" w:rsidRDefault="00000000">
            <w:r>
              <w:rPr>
                <w:sz w:val="17"/>
              </w:rPr>
              <w:t>Strafbewehrte Unterlassung bei Wiederholung</w:t>
            </w:r>
          </w:p>
        </w:tc>
        <w:tc>
          <w:tcPr>
            <w:tcW w:w="3324" w:type="dxa"/>
          </w:tcPr>
          <w:p w14:paraId="0296F574" w14:textId="77777777" w:rsidR="00E01C24" w:rsidRDefault="00000000">
            <w:r>
              <w:rPr>
                <w:sz w:val="17"/>
              </w:rPr>
              <w:t>10.000–250.000 €</w:t>
            </w:r>
          </w:p>
        </w:tc>
        <w:tc>
          <w:tcPr>
            <w:tcW w:w="3324" w:type="dxa"/>
          </w:tcPr>
          <w:p w14:paraId="74530FF2" w14:textId="77777777" w:rsidR="00E01C24" w:rsidRDefault="00000000">
            <w:r>
              <w:rPr>
                <w:sz w:val="17"/>
              </w:rPr>
              <w:t>Nach Streitwert</w:t>
            </w:r>
          </w:p>
        </w:tc>
      </w:tr>
      <w:tr w:rsidR="00E01C24" w14:paraId="593ED8EE" w14:textId="77777777">
        <w:tc>
          <w:tcPr>
            <w:tcW w:w="3324" w:type="dxa"/>
            <w:shd w:val="clear" w:color="auto" w:fill="F8F9FA"/>
          </w:tcPr>
          <w:p w14:paraId="222B3BAA" w14:textId="77777777" w:rsidR="00E01C24" w:rsidRDefault="00000000">
            <w:r>
              <w:rPr>
                <w:sz w:val="17"/>
              </w:rPr>
              <w:t>Gerichtliches Urteil + Kosten</w:t>
            </w:r>
          </w:p>
        </w:tc>
        <w:tc>
          <w:tcPr>
            <w:tcW w:w="3324" w:type="dxa"/>
            <w:shd w:val="clear" w:color="auto" w:fill="F8F9FA"/>
          </w:tcPr>
          <w:p w14:paraId="6F9CB2EF" w14:textId="77777777" w:rsidR="00E01C24" w:rsidRDefault="00000000">
            <w:r>
              <w:rPr>
                <w:sz w:val="17"/>
              </w:rPr>
              <w:t>20.000–100.000 €</w:t>
            </w:r>
          </w:p>
        </w:tc>
        <w:tc>
          <w:tcPr>
            <w:tcW w:w="3324" w:type="dxa"/>
            <w:shd w:val="clear" w:color="auto" w:fill="F8F9FA"/>
          </w:tcPr>
          <w:p w14:paraId="69897448" w14:textId="77777777" w:rsidR="00E01C24" w:rsidRDefault="00000000">
            <w:r>
              <w:rPr>
                <w:sz w:val="17"/>
              </w:rPr>
              <w:t>Streitwert, Instanzen</w:t>
            </w:r>
          </w:p>
        </w:tc>
      </w:tr>
      <w:tr w:rsidR="00E01C24" w14:paraId="006B5047" w14:textId="77777777">
        <w:tc>
          <w:tcPr>
            <w:tcW w:w="3324" w:type="dxa"/>
          </w:tcPr>
          <w:p w14:paraId="5B14F614" w14:textId="77777777" w:rsidR="00E01C24" w:rsidRDefault="00000000">
            <w:r>
              <w:rPr>
                <w:sz w:val="17"/>
              </w:rPr>
              <w:t>EU-Bußgeld (Richtlinie 2024/825/EU)</w:t>
            </w:r>
          </w:p>
        </w:tc>
        <w:tc>
          <w:tcPr>
            <w:tcW w:w="3324" w:type="dxa"/>
          </w:tcPr>
          <w:p w14:paraId="4E315261" w14:textId="77777777" w:rsidR="00E01C24" w:rsidRDefault="00000000">
            <w:r>
              <w:rPr>
                <w:sz w:val="17"/>
              </w:rPr>
              <w:t>Bis 4% Jahresumsatz</w:t>
            </w:r>
          </w:p>
        </w:tc>
        <w:tc>
          <w:tcPr>
            <w:tcW w:w="3324" w:type="dxa"/>
          </w:tcPr>
          <w:p w14:paraId="55322968" w14:textId="77777777" w:rsidR="00E01C24" w:rsidRDefault="00000000">
            <w:r>
              <w:rPr>
                <w:sz w:val="17"/>
              </w:rPr>
              <w:t>Grenzüberschreitende Verstöße</w:t>
            </w:r>
          </w:p>
        </w:tc>
      </w:tr>
      <w:tr w:rsidR="00E01C24" w14:paraId="73A8CE40" w14:textId="77777777">
        <w:tc>
          <w:tcPr>
            <w:tcW w:w="3324" w:type="dxa"/>
            <w:shd w:val="clear" w:color="auto" w:fill="F8F9FA"/>
          </w:tcPr>
          <w:p w14:paraId="2FF370F0" w14:textId="77777777" w:rsidR="00E01C24" w:rsidRDefault="00000000">
            <w:r>
              <w:rPr>
                <w:sz w:val="17"/>
              </w:rPr>
              <w:t>Österreich UWG-Verfahren</w:t>
            </w:r>
          </w:p>
        </w:tc>
        <w:tc>
          <w:tcPr>
            <w:tcW w:w="3324" w:type="dxa"/>
            <w:shd w:val="clear" w:color="auto" w:fill="F8F9FA"/>
          </w:tcPr>
          <w:p w14:paraId="2940630F" w14:textId="77777777" w:rsidR="00E01C24" w:rsidRDefault="00000000">
            <w:r>
              <w:rPr>
                <w:sz w:val="17"/>
              </w:rPr>
              <w:t>5.000–50.000 €</w:t>
            </w:r>
          </w:p>
        </w:tc>
        <w:tc>
          <w:tcPr>
            <w:tcW w:w="3324" w:type="dxa"/>
            <w:shd w:val="clear" w:color="auto" w:fill="F8F9FA"/>
          </w:tcPr>
          <w:p w14:paraId="2624FA73" w14:textId="77777777" w:rsidR="00E01C24" w:rsidRDefault="00000000">
            <w:r>
              <w:rPr>
                <w:sz w:val="17"/>
              </w:rPr>
              <w:t>Ähnlich DE</w:t>
            </w:r>
          </w:p>
        </w:tc>
      </w:tr>
      <w:tr w:rsidR="00E01C24" w14:paraId="08A06762" w14:textId="77777777">
        <w:tc>
          <w:tcPr>
            <w:tcW w:w="3324" w:type="dxa"/>
          </w:tcPr>
          <w:p w14:paraId="2DFD65D9" w14:textId="77777777" w:rsidR="00E01C24" w:rsidRDefault="00000000">
            <w:r>
              <w:rPr>
                <w:sz w:val="17"/>
              </w:rPr>
              <w:t>Schweiz UWG-Verfahren</w:t>
            </w:r>
          </w:p>
        </w:tc>
        <w:tc>
          <w:tcPr>
            <w:tcW w:w="3324" w:type="dxa"/>
          </w:tcPr>
          <w:p w14:paraId="6D3909F9" w14:textId="77777777" w:rsidR="00E01C24" w:rsidRDefault="00000000">
            <w:r>
              <w:rPr>
                <w:sz w:val="17"/>
              </w:rPr>
              <w:t>10.000–80.000 CHF</w:t>
            </w:r>
          </w:p>
        </w:tc>
        <w:tc>
          <w:tcPr>
            <w:tcW w:w="3324" w:type="dxa"/>
          </w:tcPr>
          <w:p w14:paraId="404094FC" w14:textId="77777777" w:rsidR="00E01C24" w:rsidRDefault="00000000">
            <w:r>
              <w:rPr>
                <w:sz w:val="17"/>
              </w:rPr>
              <w:t>Gerichtsstandort, Streitwert</w:t>
            </w:r>
          </w:p>
        </w:tc>
      </w:tr>
    </w:tbl>
    <w:p w14:paraId="0CAADA4B" w14:textId="77777777" w:rsidR="00E01C24" w:rsidRDefault="00E01C24"/>
    <w:p w14:paraId="118531DC" w14:textId="77777777" w:rsidR="00E01C24" w:rsidRDefault="00E01C24">
      <w:pPr>
        <w:spacing w:after="40"/>
      </w:pPr>
    </w:p>
    <w:p w14:paraId="3DD68AC1" w14:textId="77777777" w:rsidR="00E01C24" w:rsidRDefault="00000000">
      <w:pPr>
        <w:spacing w:before="160" w:after="40"/>
      </w:pPr>
      <w:r>
        <w:rPr>
          <w:b/>
          <w:color w:val="5D6D7E"/>
        </w:rPr>
        <w:t>5.2 — Indirekte Kosten</w:t>
      </w:r>
    </w:p>
    <w:p w14:paraId="6A95F30A" w14:textId="77777777" w:rsidR="00E01C24" w:rsidRDefault="00E01C24">
      <w:pPr>
        <w:spacing w:after="40"/>
      </w:pPr>
    </w:p>
    <w:tbl>
      <w:tblPr>
        <w:tblStyle w:val="Grigliatabella"/>
        <w:tblW w:w="0" w:type="auto"/>
        <w:tblLook w:val="04A0" w:firstRow="1" w:lastRow="0" w:firstColumn="1" w:lastColumn="0" w:noHBand="0" w:noVBand="1"/>
      </w:tblPr>
      <w:tblGrid>
        <w:gridCol w:w="3321"/>
        <w:gridCol w:w="3320"/>
        <w:gridCol w:w="3321"/>
      </w:tblGrid>
      <w:tr w:rsidR="00E01C24" w14:paraId="22865B84" w14:textId="77777777">
        <w:tc>
          <w:tcPr>
            <w:tcW w:w="3324" w:type="dxa"/>
            <w:shd w:val="clear" w:color="auto" w:fill="2C3E50"/>
          </w:tcPr>
          <w:p w14:paraId="1599BA2D" w14:textId="77777777" w:rsidR="00E01C24" w:rsidRDefault="00000000">
            <w:r>
              <w:rPr>
                <w:b/>
                <w:color w:val="FFFFFF"/>
                <w:sz w:val="17"/>
              </w:rPr>
              <w:t>Kostentyp</w:t>
            </w:r>
          </w:p>
        </w:tc>
        <w:tc>
          <w:tcPr>
            <w:tcW w:w="3324" w:type="dxa"/>
            <w:shd w:val="clear" w:color="auto" w:fill="2C3E50"/>
          </w:tcPr>
          <w:p w14:paraId="45880745" w14:textId="77777777" w:rsidR="00E01C24" w:rsidRDefault="00000000">
            <w:r>
              <w:rPr>
                <w:b/>
                <w:color w:val="FFFFFF"/>
                <w:sz w:val="17"/>
              </w:rPr>
              <w:t>Typischer Rahmen</w:t>
            </w:r>
          </w:p>
        </w:tc>
        <w:tc>
          <w:tcPr>
            <w:tcW w:w="3324" w:type="dxa"/>
            <w:shd w:val="clear" w:color="auto" w:fill="2C3E50"/>
          </w:tcPr>
          <w:p w14:paraId="0E8BC161" w14:textId="77777777" w:rsidR="00E01C24" w:rsidRDefault="00000000">
            <w:r>
              <w:rPr>
                <w:b/>
                <w:color w:val="FFFFFF"/>
                <w:sz w:val="17"/>
              </w:rPr>
              <w:t>Anmerkung</w:t>
            </w:r>
          </w:p>
        </w:tc>
      </w:tr>
      <w:tr w:rsidR="00E01C24" w14:paraId="37905EF5" w14:textId="77777777">
        <w:tc>
          <w:tcPr>
            <w:tcW w:w="3324" w:type="dxa"/>
          </w:tcPr>
          <w:p w14:paraId="1771900D" w14:textId="77777777" w:rsidR="00E01C24" w:rsidRDefault="00000000">
            <w:r>
              <w:rPr>
                <w:sz w:val="17"/>
              </w:rPr>
              <w:t>Kommunikationsmaterial-Überarbeitung</w:t>
            </w:r>
          </w:p>
        </w:tc>
        <w:tc>
          <w:tcPr>
            <w:tcW w:w="3324" w:type="dxa"/>
          </w:tcPr>
          <w:p w14:paraId="7AB005EE" w14:textId="77777777" w:rsidR="00E01C24" w:rsidRDefault="00000000">
            <w:r>
              <w:rPr>
                <w:sz w:val="17"/>
              </w:rPr>
              <w:t>15.000–60.000 €</w:t>
            </w:r>
          </w:p>
        </w:tc>
        <w:tc>
          <w:tcPr>
            <w:tcW w:w="3324" w:type="dxa"/>
          </w:tcPr>
          <w:p w14:paraId="4DE0790A" w14:textId="77777777" w:rsidR="00E01C24" w:rsidRDefault="00000000">
            <w:r>
              <w:rPr>
                <w:sz w:val="17"/>
              </w:rPr>
              <w:t>Website, Printmaterial, digitale Assets</w:t>
            </w:r>
          </w:p>
        </w:tc>
      </w:tr>
      <w:tr w:rsidR="00E01C24" w14:paraId="229023AA" w14:textId="77777777">
        <w:tc>
          <w:tcPr>
            <w:tcW w:w="3324" w:type="dxa"/>
            <w:shd w:val="clear" w:color="auto" w:fill="F8F9FA"/>
          </w:tcPr>
          <w:p w14:paraId="3897AD2E" w14:textId="77777777" w:rsidR="00E01C24" w:rsidRDefault="00000000">
            <w:r>
              <w:rPr>
                <w:sz w:val="17"/>
              </w:rPr>
              <w:t>Reputationsschaden Corporate-Segment</w:t>
            </w:r>
          </w:p>
        </w:tc>
        <w:tc>
          <w:tcPr>
            <w:tcW w:w="3324" w:type="dxa"/>
            <w:shd w:val="clear" w:color="auto" w:fill="F8F9FA"/>
          </w:tcPr>
          <w:p w14:paraId="2DDB7ED3" w14:textId="77777777" w:rsidR="00E01C24" w:rsidRDefault="00000000">
            <w:r>
              <w:rPr>
                <w:sz w:val="17"/>
              </w:rPr>
              <w:t>50.000–500.000 €</w:t>
            </w:r>
          </w:p>
        </w:tc>
        <w:tc>
          <w:tcPr>
            <w:tcW w:w="3324" w:type="dxa"/>
            <w:shd w:val="clear" w:color="auto" w:fill="F8F9FA"/>
          </w:tcPr>
          <w:p w14:paraId="589D3892" w14:textId="77777777" w:rsidR="00E01C24" w:rsidRDefault="00000000">
            <w:r>
              <w:rPr>
                <w:sz w:val="17"/>
              </w:rPr>
              <w:t>Umsatzverlust durch verlorene RFPs</w:t>
            </w:r>
          </w:p>
        </w:tc>
      </w:tr>
      <w:tr w:rsidR="00E01C24" w14:paraId="00E8B20C" w14:textId="77777777">
        <w:tc>
          <w:tcPr>
            <w:tcW w:w="3324" w:type="dxa"/>
          </w:tcPr>
          <w:p w14:paraId="0EB4F672" w14:textId="77777777" w:rsidR="00E01C24" w:rsidRDefault="00000000">
            <w:r>
              <w:rPr>
                <w:sz w:val="17"/>
              </w:rPr>
              <w:t>Medienkommunikation / PR-Krisenmanagement</w:t>
            </w:r>
          </w:p>
        </w:tc>
        <w:tc>
          <w:tcPr>
            <w:tcW w:w="3324" w:type="dxa"/>
          </w:tcPr>
          <w:p w14:paraId="4F5F240B" w14:textId="77777777" w:rsidR="00E01C24" w:rsidRDefault="00000000">
            <w:r>
              <w:rPr>
                <w:sz w:val="17"/>
              </w:rPr>
              <w:t>20.000–80.000 €</w:t>
            </w:r>
          </w:p>
        </w:tc>
        <w:tc>
          <w:tcPr>
            <w:tcW w:w="3324" w:type="dxa"/>
          </w:tcPr>
          <w:p w14:paraId="0FF68F6B" w14:textId="77777777" w:rsidR="00E01C24" w:rsidRDefault="00000000">
            <w:r>
              <w:rPr>
                <w:sz w:val="17"/>
              </w:rPr>
              <w:t>Bei öffentlicher Berichterstattung</w:t>
            </w:r>
          </w:p>
        </w:tc>
      </w:tr>
      <w:tr w:rsidR="00E01C24" w14:paraId="5CD41A98" w14:textId="77777777">
        <w:tc>
          <w:tcPr>
            <w:tcW w:w="3324" w:type="dxa"/>
            <w:shd w:val="clear" w:color="auto" w:fill="F8F9FA"/>
          </w:tcPr>
          <w:p w14:paraId="7A033658" w14:textId="77777777" w:rsidR="00E01C24" w:rsidRDefault="00000000">
            <w:r>
              <w:rPr>
                <w:sz w:val="17"/>
              </w:rPr>
              <w:t>Interne Managementzeit</w:t>
            </w:r>
          </w:p>
        </w:tc>
        <w:tc>
          <w:tcPr>
            <w:tcW w:w="3324" w:type="dxa"/>
            <w:shd w:val="clear" w:color="auto" w:fill="F8F9FA"/>
          </w:tcPr>
          <w:p w14:paraId="6848D2D1" w14:textId="77777777" w:rsidR="00E01C24" w:rsidRDefault="00000000">
            <w:r>
              <w:rPr>
                <w:sz w:val="17"/>
              </w:rPr>
              <w:t>50–100 Stunden</w:t>
            </w:r>
          </w:p>
        </w:tc>
        <w:tc>
          <w:tcPr>
            <w:tcW w:w="3324" w:type="dxa"/>
            <w:shd w:val="clear" w:color="auto" w:fill="F8F9FA"/>
          </w:tcPr>
          <w:p w14:paraId="4CCC8340" w14:textId="77777777" w:rsidR="00E01C24" w:rsidRDefault="00000000">
            <w:r>
              <w:rPr>
                <w:sz w:val="17"/>
              </w:rPr>
              <w:t>Koordination, Entscheidungen, Meetings</w:t>
            </w:r>
          </w:p>
        </w:tc>
      </w:tr>
    </w:tbl>
    <w:p w14:paraId="500D2C15" w14:textId="77777777" w:rsidR="00E01C24" w:rsidRDefault="00E01C24"/>
    <w:p w14:paraId="24610CEE" w14:textId="77777777" w:rsidR="00E01C24" w:rsidRDefault="00E01C24">
      <w:pPr>
        <w:spacing w:after="40"/>
      </w:pPr>
    </w:p>
    <w:p w14:paraId="3A39BE22" w14:textId="77777777" w:rsidR="00E01C24" w:rsidRDefault="00000000">
      <w:pPr>
        <w:spacing w:before="160" w:after="160"/>
      </w:pPr>
      <w:r>
        <w:rPr>
          <w:color w:val="CCCCCC"/>
          <w:sz w:val="14"/>
        </w:rPr>
        <w:t>────────────────────────────────────────────────────────────────────────────────</w:t>
      </w:r>
    </w:p>
    <w:p w14:paraId="543FF69E" w14:textId="77777777" w:rsidR="00E01C24" w:rsidRDefault="00E01C24">
      <w:pPr>
        <w:spacing w:after="40"/>
      </w:pPr>
    </w:p>
    <w:p w14:paraId="34E4E431" w14:textId="77777777" w:rsidR="00E01C24" w:rsidRDefault="00000000">
      <w:pPr>
        <w:spacing w:before="200" w:after="60"/>
      </w:pPr>
      <w:r>
        <w:rPr>
          <w:b/>
          <w:color w:val="445A6F"/>
          <w:sz w:val="21"/>
        </w:rPr>
        <w:t>Abschnitt 6 — Monitoring-Quellen für neue Fälle</w:t>
      </w:r>
    </w:p>
    <w:p w14:paraId="4C12E8A4" w14:textId="77777777" w:rsidR="00E01C24" w:rsidRDefault="00E01C24">
      <w:pPr>
        <w:spacing w:after="40"/>
      </w:pPr>
    </w:p>
    <w:p w14:paraId="0C73C84D" w14:textId="77777777" w:rsidR="00E01C24" w:rsidRDefault="00000000">
      <w:r>
        <w:t>Die Plattform überwacht kontinuierlich folgende Quellen und aktualisiert diese Fallsammlung bei relevanten neuen Fällen:</w:t>
      </w:r>
    </w:p>
    <w:p w14:paraId="50D7FAF4" w14:textId="77777777" w:rsidR="00E01C24" w:rsidRDefault="00E01C24">
      <w:pPr>
        <w:spacing w:after="40"/>
      </w:pPr>
    </w:p>
    <w:tbl>
      <w:tblPr>
        <w:tblStyle w:val="Grigliatabella"/>
        <w:tblW w:w="0" w:type="auto"/>
        <w:tblLook w:val="04A0" w:firstRow="1" w:lastRow="0" w:firstColumn="1" w:lastColumn="0" w:noHBand="0" w:noVBand="1"/>
      </w:tblPr>
      <w:tblGrid>
        <w:gridCol w:w="3320"/>
        <w:gridCol w:w="3321"/>
        <w:gridCol w:w="3321"/>
      </w:tblGrid>
      <w:tr w:rsidR="00E01C24" w14:paraId="1C19597D" w14:textId="77777777">
        <w:tc>
          <w:tcPr>
            <w:tcW w:w="3324" w:type="dxa"/>
            <w:shd w:val="clear" w:color="auto" w:fill="2C3E50"/>
          </w:tcPr>
          <w:p w14:paraId="08C33956" w14:textId="77777777" w:rsidR="00E01C24" w:rsidRDefault="00000000">
            <w:r>
              <w:rPr>
                <w:b/>
                <w:color w:val="FFFFFF"/>
                <w:sz w:val="17"/>
              </w:rPr>
              <w:t>Quelle</w:t>
            </w:r>
          </w:p>
        </w:tc>
        <w:tc>
          <w:tcPr>
            <w:tcW w:w="3324" w:type="dxa"/>
            <w:shd w:val="clear" w:color="auto" w:fill="2C3E50"/>
          </w:tcPr>
          <w:p w14:paraId="447B51CA" w14:textId="77777777" w:rsidR="00E01C24" w:rsidRDefault="00000000">
            <w:r>
              <w:rPr>
                <w:b/>
                <w:color w:val="FFFFFF"/>
                <w:sz w:val="17"/>
              </w:rPr>
              <w:t>URL</w:t>
            </w:r>
          </w:p>
        </w:tc>
        <w:tc>
          <w:tcPr>
            <w:tcW w:w="3324" w:type="dxa"/>
            <w:shd w:val="clear" w:color="auto" w:fill="2C3E50"/>
          </w:tcPr>
          <w:p w14:paraId="49FD790A" w14:textId="77777777" w:rsidR="00E01C24" w:rsidRDefault="00000000">
            <w:r>
              <w:rPr>
                <w:b/>
                <w:color w:val="FFFFFF"/>
                <w:sz w:val="17"/>
              </w:rPr>
              <w:t>Inhalt</w:t>
            </w:r>
          </w:p>
        </w:tc>
      </w:tr>
      <w:tr w:rsidR="00E01C24" w14:paraId="718BB9B9" w14:textId="77777777">
        <w:tc>
          <w:tcPr>
            <w:tcW w:w="3324" w:type="dxa"/>
          </w:tcPr>
          <w:p w14:paraId="138AD69F" w14:textId="77777777" w:rsidR="00E01C24" w:rsidRDefault="00000000">
            <w:r>
              <w:rPr>
                <w:sz w:val="17"/>
              </w:rPr>
              <w:t>Wettbewerbszentrale DE</w:t>
            </w:r>
          </w:p>
        </w:tc>
        <w:tc>
          <w:tcPr>
            <w:tcW w:w="3324" w:type="dxa"/>
          </w:tcPr>
          <w:p w14:paraId="50584CCE" w14:textId="77777777" w:rsidR="00E01C24" w:rsidRDefault="00000000">
            <w:r>
              <w:rPr>
                <w:sz w:val="17"/>
              </w:rPr>
              <w:t>wettbewerbszentrale.de</w:t>
            </w:r>
          </w:p>
        </w:tc>
        <w:tc>
          <w:tcPr>
            <w:tcW w:w="3324" w:type="dxa"/>
          </w:tcPr>
          <w:p w14:paraId="668759C5" w14:textId="77777777" w:rsidR="00E01C24" w:rsidRDefault="00000000">
            <w:r>
              <w:rPr>
                <w:sz w:val="17"/>
              </w:rPr>
              <w:t>Abmahnungen, Urteile, Pressemitteilungen</w:t>
            </w:r>
          </w:p>
        </w:tc>
      </w:tr>
      <w:tr w:rsidR="00E01C24" w14:paraId="4EDA94B1" w14:textId="77777777">
        <w:tc>
          <w:tcPr>
            <w:tcW w:w="3324" w:type="dxa"/>
            <w:shd w:val="clear" w:color="auto" w:fill="F8F9FA"/>
          </w:tcPr>
          <w:p w14:paraId="1860E246" w14:textId="77777777" w:rsidR="00E01C24" w:rsidRDefault="00000000">
            <w:r>
              <w:rPr>
                <w:sz w:val="17"/>
              </w:rPr>
              <w:t>Vzbv</w:t>
            </w:r>
          </w:p>
        </w:tc>
        <w:tc>
          <w:tcPr>
            <w:tcW w:w="3324" w:type="dxa"/>
            <w:shd w:val="clear" w:color="auto" w:fill="F8F9FA"/>
          </w:tcPr>
          <w:p w14:paraId="57D558D7" w14:textId="77777777" w:rsidR="00E01C24" w:rsidRDefault="00000000">
            <w:r>
              <w:rPr>
                <w:sz w:val="17"/>
              </w:rPr>
              <w:t>vzbv.de</w:t>
            </w:r>
          </w:p>
        </w:tc>
        <w:tc>
          <w:tcPr>
            <w:tcW w:w="3324" w:type="dxa"/>
            <w:shd w:val="clear" w:color="auto" w:fill="F8F9FA"/>
          </w:tcPr>
          <w:p w14:paraId="2EBE1FE6" w14:textId="77777777" w:rsidR="00E01C24" w:rsidRDefault="00000000">
            <w:r>
              <w:rPr>
                <w:sz w:val="17"/>
              </w:rPr>
              <w:t>Verbandsklagen, Verbraucherrechtsverstöße</w:t>
            </w:r>
          </w:p>
        </w:tc>
      </w:tr>
      <w:tr w:rsidR="00E01C24" w14:paraId="441F75A2" w14:textId="77777777">
        <w:tc>
          <w:tcPr>
            <w:tcW w:w="3324" w:type="dxa"/>
          </w:tcPr>
          <w:p w14:paraId="328737D9" w14:textId="77777777" w:rsidR="00E01C24" w:rsidRDefault="00000000">
            <w:r>
              <w:rPr>
                <w:sz w:val="17"/>
              </w:rPr>
              <w:t>WKO Österreich</w:t>
            </w:r>
          </w:p>
        </w:tc>
        <w:tc>
          <w:tcPr>
            <w:tcW w:w="3324" w:type="dxa"/>
          </w:tcPr>
          <w:p w14:paraId="087648BE" w14:textId="77777777" w:rsidR="00E01C24" w:rsidRDefault="00000000">
            <w:r>
              <w:rPr>
                <w:sz w:val="17"/>
              </w:rPr>
              <w:t>wko.at</w:t>
            </w:r>
          </w:p>
        </w:tc>
        <w:tc>
          <w:tcPr>
            <w:tcW w:w="3324" w:type="dxa"/>
          </w:tcPr>
          <w:p w14:paraId="3CD14A62" w14:textId="77777777" w:rsidR="00E01C24" w:rsidRDefault="00000000">
            <w:r>
              <w:rPr>
                <w:sz w:val="17"/>
              </w:rPr>
              <w:t>Österreichische Wettbewerbsfälle</w:t>
            </w:r>
          </w:p>
        </w:tc>
      </w:tr>
      <w:tr w:rsidR="00E01C24" w14:paraId="2647E723" w14:textId="77777777">
        <w:tc>
          <w:tcPr>
            <w:tcW w:w="3324" w:type="dxa"/>
            <w:shd w:val="clear" w:color="auto" w:fill="F8F9FA"/>
          </w:tcPr>
          <w:p w14:paraId="05F08E23" w14:textId="77777777" w:rsidR="00E01C24" w:rsidRDefault="00000000">
            <w:r>
              <w:rPr>
                <w:sz w:val="17"/>
              </w:rPr>
              <w:t>ACM Niederlande</w:t>
            </w:r>
          </w:p>
        </w:tc>
        <w:tc>
          <w:tcPr>
            <w:tcW w:w="3324" w:type="dxa"/>
            <w:shd w:val="clear" w:color="auto" w:fill="F8F9FA"/>
          </w:tcPr>
          <w:p w14:paraId="788996B9" w14:textId="77777777" w:rsidR="00E01C24" w:rsidRDefault="00000000">
            <w:r>
              <w:rPr>
                <w:sz w:val="17"/>
              </w:rPr>
              <w:t>acm.nl</w:t>
            </w:r>
          </w:p>
        </w:tc>
        <w:tc>
          <w:tcPr>
            <w:tcW w:w="3324" w:type="dxa"/>
            <w:shd w:val="clear" w:color="auto" w:fill="F8F9FA"/>
          </w:tcPr>
          <w:p w14:paraId="51683862" w14:textId="77777777" w:rsidR="00E01C24" w:rsidRDefault="00000000">
            <w:r>
              <w:rPr>
                <w:sz w:val="17"/>
              </w:rPr>
              <w:t>Wegweisende EU-Greenwashing-Entscheidungen</w:t>
            </w:r>
          </w:p>
        </w:tc>
      </w:tr>
      <w:tr w:rsidR="00E01C24" w14:paraId="4317C2FF" w14:textId="77777777">
        <w:tc>
          <w:tcPr>
            <w:tcW w:w="3324" w:type="dxa"/>
          </w:tcPr>
          <w:p w14:paraId="2F7AF3E5" w14:textId="77777777" w:rsidR="00E01C24" w:rsidRDefault="00000000">
            <w:r>
              <w:rPr>
                <w:sz w:val="17"/>
              </w:rPr>
              <w:t>CMA UK</w:t>
            </w:r>
          </w:p>
        </w:tc>
        <w:tc>
          <w:tcPr>
            <w:tcW w:w="3324" w:type="dxa"/>
          </w:tcPr>
          <w:p w14:paraId="1AEB6B4A" w14:textId="77777777" w:rsidR="00E01C24" w:rsidRDefault="00000000">
            <w:r>
              <w:rPr>
                <w:sz w:val="17"/>
              </w:rPr>
              <w:t>cma.gov.uk</w:t>
            </w:r>
          </w:p>
        </w:tc>
        <w:tc>
          <w:tcPr>
            <w:tcW w:w="3324" w:type="dxa"/>
          </w:tcPr>
          <w:p w14:paraId="547FBA37" w14:textId="77777777" w:rsidR="00E01C24" w:rsidRDefault="00000000">
            <w:r>
              <w:rPr>
                <w:sz w:val="17"/>
              </w:rPr>
              <w:t>UK-Fälle mit EU-Präzedenzwirkung</w:t>
            </w:r>
          </w:p>
        </w:tc>
      </w:tr>
      <w:tr w:rsidR="00E01C24" w14:paraId="7254289F" w14:textId="77777777">
        <w:tc>
          <w:tcPr>
            <w:tcW w:w="3324" w:type="dxa"/>
            <w:shd w:val="clear" w:color="auto" w:fill="F8F9FA"/>
          </w:tcPr>
          <w:p w14:paraId="01A08383" w14:textId="77777777" w:rsidR="00E01C24" w:rsidRDefault="00000000">
            <w:r>
              <w:rPr>
                <w:sz w:val="17"/>
              </w:rPr>
              <w:t>EFRAG Guidance</w:t>
            </w:r>
          </w:p>
        </w:tc>
        <w:tc>
          <w:tcPr>
            <w:tcW w:w="3324" w:type="dxa"/>
            <w:shd w:val="clear" w:color="auto" w:fill="F8F9FA"/>
          </w:tcPr>
          <w:p w14:paraId="05E1E806" w14:textId="77777777" w:rsidR="00E01C24" w:rsidRDefault="00000000">
            <w:r>
              <w:rPr>
                <w:sz w:val="17"/>
              </w:rPr>
              <w:t>efrag.org</w:t>
            </w:r>
          </w:p>
        </w:tc>
        <w:tc>
          <w:tcPr>
            <w:tcW w:w="3324" w:type="dxa"/>
            <w:shd w:val="clear" w:color="auto" w:fill="F8F9FA"/>
          </w:tcPr>
          <w:p w14:paraId="468EE0D5" w14:textId="77777777" w:rsidR="00E01C24" w:rsidRDefault="00000000">
            <w:r>
              <w:rPr>
                <w:sz w:val="17"/>
              </w:rPr>
              <w:t>ESRS-Interpretation zu Greenwashing</w:t>
            </w:r>
          </w:p>
        </w:tc>
      </w:tr>
      <w:tr w:rsidR="00E01C24" w14:paraId="5B344C4F" w14:textId="77777777">
        <w:tc>
          <w:tcPr>
            <w:tcW w:w="3324" w:type="dxa"/>
          </w:tcPr>
          <w:p w14:paraId="21A7432A" w14:textId="77777777" w:rsidR="00E01C24" w:rsidRDefault="00000000">
            <w:r>
              <w:rPr>
                <w:sz w:val="17"/>
              </w:rPr>
              <w:t>ClientEarth</w:t>
            </w:r>
          </w:p>
        </w:tc>
        <w:tc>
          <w:tcPr>
            <w:tcW w:w="3324" w:type="dxa"/>
          </w:tcPr>
          <w:p w14:paraId="28C86F36" w14:textId="77777777" w:rsidR="00E01C24" w:rsidRDefault="00000000">
            <w:r>
              <w:rPr>
                <w:sz w:val="17"/>
              </w:rPr>
              <w:t>clientearth.org</w:t>
            </w:r>
          </w:p>
        </w:tc>
        <w:tc>
          <w:tcPr>
            <w:tcW w:w="3324" w:type="dxa"/>
          </w:tcPr>
          <w:p w14:paraId="2C5F3300" w14:textId="77777777" w:rsidR="00E01C24" w:rsidRDefault="00000000">
            <w:r>
              <w:rPr>
                <w:sz w:val="17"/>
              </w:rPr>
              <w:t>NGO-Klimaklagen (zunehmend relevant)</w:t>
            </w:r>
          </w:p>
        </w:tc>
      </w:tr>
      <w:tr w:rsidR="00E01C24" w14:paraId="3F476A7F" w14:textId="77777777">
        <w:tc>
          <w:tcPr>
            <w:tcW w:w="3324" w:type="dxa"/>
            <w:shd w:val="clear" w:color="auto" w:fill="F8F9FA"/>
          </w:tcPr>
          <w:p w14:paraId="00604D38" w14:textId="77777777" w:rsidR="00E01C24" w:rsidRDefault="00000000">
            <w:r>
              <w:rPr>
                <w:sz w:val="17"/>
              </w:rPr>
              <w:lastRenderedPageBreak/>
              <w:t>Rechtsanwaltskanzlei Greenwashing-Monitor</w:t>
            </w:r>
          </w:p>
        </w:tc>
        <w:tc>
          <w:tcPr>
            <w:tcW w:w="3324" w:type="dxa"/>
            <w:shd w:val="clear" w:color="auto" w:fill="F8F9FA"/>
          </w:tcPr>
          <w:p w14:paraId="097EFAA5" w14:textId="77777777" w:rsidR="00E01C24" w:rsidRDefault="00000000">
            <w:r>
              <w:rPr>
                <w:sz w:val="17"/>
              </w:rPr>
              <w:t>[Spezialisierte Kanzleien DE/AT/CH — V]</w:t>
            </w:r>
          </w:p>
        </w:tc>
        <w:tc>
          <w:tcPr>
            <w:tcW w:w="3324" w:type="dxa"/>
            <w:shd w:val="clear" w:color="auto" w:fill="F8F9FA"/>
          </w:tcPr>
          <w:p w14:paraId="6762403E" w14:textId="77777777" w:rsidR="00E01C24" w:rsidRDefault="00000000">
            <w:r>
              <w:rPr>
                <w:sz w:val="17"/>
              </w:rPr>
              <w:t>Aktuelle Rechtsprechung</w:t>
            </w:r>
          </w:p>
        </w:tc>
      </w:tr>
    </w:tbl>
    <w:p w14:paraId="31CD6ED7" w14:textId="77777777" w:rsidR="00E01C24" w:rsidRDefault="00E01C24"/>
    <w:p w14:paraId="31220CBE" w14:textId="77777777" w:rsidR="00E01C24" w:rsidRDefault="00E01C24">
      <w:pPr>
        <w:spacing w:after="40"/>
      </w:pPr>
    </w:p>
    <w:p w14:paraId="024F9850" w14:textId="77777777" w:rsidR="00E01C24" w:rsidRDefault="00000000">
      <w:pPr>
        <w:spacing w:before="160" w:after="160"/>
      </w:pPr>
      <w:r>
        <w:rPr>
          <w:color w:val="CCCCCC"/>
          <w:sz w:val="14"/>
        </w:rPr>
        <w:t>────────────────────────────────────────────────────────────────────────────────</w:t>
      </w:r>
    </w:p>
    <w:p w14:paraId="4292ECE2" w14:textId="77777777" w:rsidR="00E01C24" w:rsidRDefault="00E01C24">
      <w:pPr>
        <w:spacing w:after="40"/>
      </w:pPr>
    </w:p>
    <w:p w14:paraId="1996804F" w14:textId="77777777" w:rsidR="00E01C24" w:rsidRDefault="00000000">
      <w:pPr>
        <w:spacing w:before="200" w:after="60"/>
      </w:pPr>
      <w:r>
        <w:rPr>
          <w:b/>
          <w:color w:val="445A6F"/>
          <w:sz w:val="21"/>
        </w:rPr>
        <w:t>Wesentliche Entwicklungen seit Erstveröffentlichung</w:t>
      </w:r>
    </w:p>
    <w:p w14:paraId="3DC517E3" w14:textId="77777777" w:rsidR="00E01C24" w:rsidRDefault="00E01C24">
      <w:pPr>
        <w:spacing w:after="40"/>
      </w:pPr>
    </w:p>
    <w:p w14:paraId="4D323A5A" w14:textId="77777777" w:rsidR="00E01C24" w:rsidRDefault="00000000">
      <w:r>
        <w:rPr>
          <w:i/>
        </w:rPr>
        <w:t>[Dieser Abschnitt wird bei jeder Aktualisierung des Dokuments mit neuen dokumentierten Fällen und Entwicklungen ergänzt]</w:t>
      </w:r>
    </w:p>
    <w:p w14:paraId="1AF57533" w14:textId="77777777" w:rsidR="00E01C24" w:rsidRDefault="00E01C24">
      <w:pPr>
        <w:spacing w:after="40"/>
      </w:pPr>
    </w:p>
    <w:p w14:paraId="559DEB96" w14:textId="77777777" w:rsidR="00E01C24" w:rsidRDefault="00000000">
      <w:pPr>
        <w:spacing w:before="160" w:after="40"/>
      </w:pPr>
      <w:r>
        <w:rPr>
          <w:b/>
          <w:color w:val="2C3E50"/>
          <w:sz w:val="21"/>
        </w:rPr>
        <w:t>[Datum] — [Titel der Entwicklung]</w:t>
      </w:r>
    </w:p>
    <w:p w14:paraId="2663ACF7" w14:textId="77777777" w:rsidR="00E01C24" w:rsidRDefault="00000000">
      <w:r>
        <w:rPr>
          <w:i/>
        </w:rPr>
        <w:t>[Beschreibung des neuen Falls oder der Rechtsentwicklung mit Implikationen für DACH-Hotels]</w:t>
      </w:r>
    </w:p>
    <w:p w14:paraId="58EF408B" w14:textId="77777777" w:rsidR="00E01C24" w:rsidRDefault="00E01C24">
      <w:pPr>
        <w:spacing w:after="40"/>
      </w:pPr>
    </w:p>
    <w:p w14:paraId="6D8BF2E7" w14:textId="77777777" w:rsidR="00E01C24" w:rsidRDefault="00000000">
      <w:pPr>
        <w:spacing w:before="160" w:after="160"/>
      </w:pPr>
      <w:r>
        <w:rPr>
          <w:color w:val="CCCCCC"/>
          <w:sz w:val="14"/>
        </w:rPr>
        <w:t>────────────────────────────────────────────────────────────────────────────────</w:t>
      </w:r>
    </w:p>
    <w:p w14:paraId="2CF28307" w14:textId="77777777" w:rsidR="00E01C24" w:rsidRDefault="00E01C24">
      <w:pPr>
        <w:spacing w:after="40"/>
      </w:pPr>
    </w:p>
    <w:p w14:paraId="6E9967CD" w14:textId="77777777" w:rsidR="00E01C24" w:rsidRDefault="00000000">
      <w:r>
        <w:rPr>
          <w:i/>
        </w:rPr>
        <w:t>Dokument erstellt von Francesco Dore — buecher.effedore.com</w:t>
      </w:r>
    </w:p>
    <w:p w14:paraId="0E300F86" w14:textId="77777777" w:rsidR="00E01C24" w:rsidRDefault="00000000">
      <w:r>
        <w:rPr>
          <w:i/>
        </w:rPr>
        <w:t>Schriftenreihe „Das Steuer und die Lupe" — ISO 14001:2026 — Umweltmanagementsysteme für das Gastgewerbe DACH</w:t>
      </w:r>
    </w:p>
    <w:sectPr w:rsidR="00E01C24" w:rsidSect="00034616">
      <w:pgSz w:w="12240" w:h="15840"/>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025326597">
    <w:abstractNumId w:val="8"/>
  </w:num>
  <w:num w:numId="2" w16cid:durableId="1626892310">
    <w:abstractNumId w:val="6"/>
  </w:num>
  <w:num w:numId="3" w16cid:durableId="90785610">
    <w:abstractNumId w:val="5"/>
  </w:num>
  <w:num w:numId="4" w16cid:durableId="2119596158">
    <w:abstractNumId w:val="4"/>
  </w:num>
  <w:num w:numId="5" w16cid:durableId="938833981">
    <w:abstractNumId w:val="7"/>
  </w:num>
  <w:num w:numId="6" w16cid:durableId="1458374296">
    <w:abstractNumId w:val="3"/>
  </w:num>
  <w:num w:numId="7" w16cid:durableId="1110052647">
    <w:abstractNumId w:val="2"/>
  </w:num>
  <w:num w:numId="8" w16cid:durableId="759058029">
    <w:abstractNumId w:val="1"/>
  </w:num>
  <w:num w:numId="9" w16cid:durableId="1814442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E5D12"/>
    <w:rsid w:val="00AA1D8D"/>
    <w:rsid w:val="00AA3CD8"/>
    <w:rsid w:val="00B47730"/>
    <w:rsid w:val="00CB0664"/>
    <w:rsid w:val="00E01C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F0A338"/>
  <w14:defaultImageDpi w14:val="300"/>
  <w15:docId w15:val="{D8ADA5D9-1149-4F1A-AB53-C544341B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80"/>
    </w:pPr>
    <w:rPr>
      <w:rFonts w:ascii="Georgia" w:hAnsi="Georgia"/>
      <w:sz w:val="20"/>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3729</Words>
  <Characters>21256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Francesco Dore</cp:lastModifiedBy>
  <cp:revision>2</cp:revision>
  <dcterms:created xsi:type="dcterms:W3CDTF">2026-05-21T06:03:00Z</dcterms:created>
  <dcterms:modified xsi:type="dcterms:W3CDTF">2026-05-21T06:03:00Z</dcterms:modified>
  <cp:category/>
</cp:coreProperties>
</file>