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ONLINE-PLATTFORM — buecher.effedore.com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Material zu Unterkapitel 12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1. Aktualisierte Emissionsfaktoren — Scope 1, 2 und 3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C3E50"/>
          <w:sz w:val="24"/>
        </w:rPr>
        <w:t>*Jährlich aktualisiertes Referenzdokument für das DACH-Gastgewerbe*</w:t>
      </w:r>
    </w:p>
    <w:p>
      <w:pPr>
        <w:spacing w:after="60"/>
      </w:pPr>
      <w:r>
        <w:rPr>
          <w:color w:val="2C3E5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Dokumentversion:</w:t>
      </w:r>
      <w:r>
        <w:rPr>
          <w:rFonts w:ascii="Georgia" w:hAnsi="Georgia"/>
          <w:sz w:val="19"/>
        </w:rPr>
        <w:t xml:space="preserve"> 1.0 — </w:t>
      </w:r>
      <w:r>
        <w:rPr>
          <w:rFonts w:ascii="Georgia" w:hAnsi="Georgia"/>
          <w:i/>
          <w:sz w:val="19"/>
        </w:rPr>
        <w:t>Aktualisiert zum [Datum der Plattformveröffentlichung]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Geplante Aktualisierung:</w:t>
      </w:r>
      <w:r>
        <w:rPr>
          <w:rFonts w:ascii="Georgia" w:hAnsi="Georgia"/>
          <w:sz w:val="19"/>
        </w:rPr>
        <w:t xml:space="preserve"> Jährlich — Q1 nach Veröffentlichung der Referenzquellen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Normative Referenz:</w:t>
      </w:r>
      <w:r>
        <w:rPr>
          <w:rFonts w:ascii="Georgia" w:hAnsi="Georgia"/>
          <w:sz w:val="19"/>
        </w:rPr>
        <w:t xml:space="preserve"> GHG Protocol Corporate Standard; ISO 14064-1:2018; IPCC AR6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Hinweis:</w:t>
      </w:r>
      <w:r>
        <w:rPr>
          <w:rFonts w:ascii="Georgia" w:hAnsi="Georgia"/>
          <w:sz w:val="19"/>
        </w:rPr>
        <w:t xml:space="preserve"> Alle Emissionsfaktoren sind mit [V] markiert und vor der Verwendung in verifizierten Inventaren mit den aktuellen Quellpublikationen abzugleichen. Emissionsfaktoren unterliegen jährlichen Revisionen — immer die aktuellste Quellversion verwenden.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Vorbemerkung: Wie Emissionsfaktoren korrekt verwendet werden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Einheit:</w:t>
      </w:r>
      <w:r>
        <w:rPr>
          <w:rFonts w:ascii="Georgia" w:hAnsi="Georgia"/>
          <w:sz w:val="19"/>
        </w:rPr>
        <w:t xml:space="preserve"> Alle Emissionsfaktoren in diesem Dokument sind in </w:t>
      </w:r>
      <w:r>
        <w:rPr>
          <w:rFonts w:ascii="Georgia" w:hAnsi="Georgia"/>
          <w:b/>
          <w:sz w:val="19"/>
        </w:rPr>
        <w:t>kgCO₂e</w:t>
      </w:r>
      <w:r>
        <w:rPr>
          <w:rFonts w:ascii="Georgia" w:hAnsi="Georgia"/>
          <w:sz w:val="19"/>
        </w:rPr>
        <w:t xml:space="preserve"> — Kilogramm CO₂-Äquivalent. Der CO₂e-Faktor berücksichtigt nicht nur CO₂, sondern alle Treibhausgase (CH₄, N₂O, HFCs, PFCs, SF₆) gewichtet nach ihrem 100-Jahres-Erwärmungspotenzial (GWP100) gemäss IPCC AR6.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GWP-Referenz:</w:t>
      </w:r>
      <w:r>
        <w:rPr>
          <w:rFonts w:ascii="Georgia" w:hAnsi="Georgia"/>
          <w:sz w:val="19"/>
        </w:rPr>
        <w:t xml:space="preserve"> Dieses Dokument verwendet GWP100-Werte aus dem IPCC Sechsten Sachstandsbericht (AR6, 2021):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CO₂: GWP = 1,0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CH₄ (fossil): GWP = 29,8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CH₄ (biogen): GWP = 27,9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N₂O: GWP = 273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Ältere Inventare können GWP-Werte aus AR4 oder AR5 verwenden — bei Vergleichen auf Konsistenz achten.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154360"/>
          <w:sz w:val="24"/>
        </w:rPr>
        <w:t>SCOPE 1 — DIREKTE EMISSIONEN</w:t>
      </w:r>
    </w:p>
    <w:p>
      <w:pPr>
        <w:spacing w:after="60"/>
      </w:pPr>
      <w:r>
        <w:rPr>
          <w:color w:val="15436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S1.1 — Stationäre Verbrennung: Energieträger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1457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Energieträger</w:t>
            </w:r>
          </w:p>
        </w:tc>
        <w:tc>
          <w:tcPr>
            <w:tcW w:type="dxa" w:w="1457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Einheit</w:t>
            </w:r>
          </w:p>
        </w:tc>
        <w:tc>
          <w:tcPr>
            <w:tcW w:type="dxa" w:w="1457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kgCO₂e/Einheit</w:t>
            </w:r>
          </w:p>
        </w:tc>
        <w:tc>
          <w:tcPr>
            <w:tcW w:type="dxa" w:w="1457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Fossil CO₂</w:t>
            </w:r>
          </w:p>
        </w:tc>
        <w:tc>
          <w:tcPr>
            <w:tcW w:type="dxa" w:w="1457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Biogen CO₂</w:t>
            </w:r>
          </w:p>
        </w:tc>
        <w:tc>
          <w:tcPr>
            <w:tcW w:type="dxa" w:w="1457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</w:t>
            </w:r>
          </w:p>
        </w:tc>
        <w:tc>
          <w:tcPr>
            <w:tcW w:type="dxa" w:w="1457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Jahr [V]</w:t>
            </w:r>
          </w:p>
        </w:tc>
      </w:tr>
      <w:tr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Erdgas (H-Gas)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0,202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0,201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2024</w:t>
            </w:r>
          </w:p>
        </w:tc>
      </w:tr>
      <w:tr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Erdgas (L-Gas)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0,198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0,197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2024</w:t>
            </w:r>
          </w:p>
        </w:tc>
      </w:tr>
      <w:tr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Heizöl extra leicht (EL)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0,268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0,268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2024</w:t>
            </w:r>
          </w:p>
        </w:tc>
      </w:tr>
      <w:tr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Heizöl extra leicht (EL)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Liter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2,650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2,650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2024</w:t>
            </w:r>
          </w:p>
        </w:tc>
      </w:tr>
      <w:tr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Flüssiggas LPG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0,229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0,229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2024</w:t>
            </w:r>
          </w:p>
        </w:tc>
      </w:tr>
      <w:tr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Flüssiggas LPG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kg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2,970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2,970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2024</w:t>
            </w:r>
          </w:p>
        </w:tc>
      </w:tr>
      <w:tr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Steinkohle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kg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2,420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2,420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2024</w:t>
            </w:r>
          </w:p>
        </w:tc>
      </w:tr>
      <w:tr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Diesel (stationär)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Liter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2,640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2,640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2024</w:t>
            </w:r>
          </w:p>
        </w:tc>
      </w:tr>
      <w:tr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Holzpellets (100% biogen)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0,023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0,023 (fossil)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0,390 (biogen)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2024</w:t>
            </w:r>
          </w:p>
        </w:tc>
      </w:tr>
      <w:tr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Hackschnitzel (100% biogen)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0,016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0,016 (fossil)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0,370 (biogen)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  <w:tc>
          <w:tcPr>
            <w:tcW w:type="dxa" w:w="1457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2024</w:t>
            </w:r>
          </w:p>
        </w:tc>
      </w:tr>
      <w:tr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Biogas (100% biogen)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0,005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0,202 (biogen)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  <w:tc>
          <w:tcPr>
            <w:tcW w:type="dxa" w:w="1457"/>
          </w:tcPr>
          <w:p>
            <w:r>
              <w:rPr>
                <w:rFonts w:ascii="Georgia" w:hAnsi="Georgia"/>
                <w:sz w:val="16"/>
              </w:rPr>
              <w:t>2024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Hinweis biogene Emissionen: Nach GHG Protocol und ESRS E1 werden biogene CO₂-Emissionen separat ausgewiesen — nicht zur fossilen Scope-1-Summe addiert, aber transparent angegeben.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S1.2 — Mobile Verbrennung: Fahrzeugflotte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Fahrzeugtyp</w:t>
            </w:r>
          </w:p>
        </w:tc>
        <w:tc>
          <w:tcPr>
            <w:tcW w:type="dxa" w:w="204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Einheit</w:t>
            </w:r>
          </w:p>
        </w:tc>
        <w:tc>
          <w:tcPr>
            <w:tcW w:type="dxa" w:w="204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kgCO₂e/Einheit</w:t>
            </w:r>
          </w:p>
        </w:tc>
        <w:tc>
          <w:tcPr>
            <w:tcW w:type="dxa" w:w="204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Methodik</w:t>
            </w:r>
          </w:p>
        </w:tc>
        <w:tc>
          <w:tcPr>
            <w:tcW w:type="dxa" w:w="204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 [V]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PKW Benzin (Durchschnitt)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Liter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2,372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Direktemission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UBA DE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PKW Diesel (Durchschnitt)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Liter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2,640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Direktemission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PKW Benzin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km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0,189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Flottendurchschnitt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UBA DE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PKW Diesel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km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0,171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Flottendurchschnitt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Transporter Diesel (&lt;3,5t)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km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0,255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Flottendurchschnitt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UBA DE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Minibus Diesel (9-Sitze)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km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0,330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Flottendurchschnitt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Elektro-PKW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km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0,000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Scope 1 = 0; Scope 2 separat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Motorrad Benzin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Liter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2,372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Direktemission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S1.3 — Flüchtige Emissionen: F-Gas / Kältemittel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Kältemittel</w:t>
            </w:r>
          </w:p>
        </w:tc>
        <w:tc>
          <w:tcPr>
            <w:tcW w:type="dxa" w:w="204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GWP100 (AR6)</w:t>
            </w:r>
          </w:p>
        </w:tc>
        <w:tc>
          <w:tcPr>
            <w:tcW w:type="dxa" w:w="204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kgCO₂e/kg Leckage</w:t>
            </w:r>
          </w:p>
        </w:tc>
        <w:tc>
          <w:tcPr>
            <w:tcW w:type="dxa" w:w="204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Typische Anwendung</w:t>
            </w:r>
          </w:p>
        </w:tc>
        <w:tc>
          <w:tcPr>
            <w:tcW w:type="dxa" w:w="2040"/>
            <w:shd w:val="clear" w:color="auto" w:fill="154360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 [V]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R410A (HFC-Gemisch)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2.088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2.088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Klimaanlagen, Wärmepumpen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IPCC AR6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R32 (HFC-32)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771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771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Neuere Klimaanlagen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IPCC AR6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R134a (HFC-134a)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1.526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1.526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Kühlanlagen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IPCC AR6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R407C (HFC-Gemisch)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1.774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1.774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Klimaanlagen älter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IPCC AR6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R404A (HFC-Gemisch)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3.922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3.922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Kühlanlagen Lebensmittel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IPCC AR6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R507A (HFC-Gemisch)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3.985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3.985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Tiefkühlung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IPCC AR6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R290 (Propan)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0,072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0,072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Öko-Kältemittel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IPCC AR6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R600a (Isobutan)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0,006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0,006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Haushaltskühlgeräte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IPCC AR6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R1234yf (HFO)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0,049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0,049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Neuere Fahrzeuge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IPCC AR6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R22 (HCFC — auslaufend)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1.760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1.760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Altanlagen (verboten Neufüllung)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IPCC AR6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Datenquelle Leckagemengen: F-Gas-Register (Pflichtdokument nach F-Gas-VO EU 517/2014 resp. 2024/573/EU)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1A5276"/>
          <w:sz w:val="24"/>
        </w:rPr>
        <w:t>SCOPE 2 — INDIREKTE EMISSIONEN AUS ZUGEKAUFTER ENERGIE</w:t>
      </w:r>
    </w:p>
    <w:p>
      <w:pPr>
        <w:spacing w:after="60"/>
      </w:pPr>
      <w:r>
        <w:rPr>
          <w:color w:val="1A5276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S2.1 — Strom: Netzmix-Emissionsfaktoren (Location-based)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Land / Region</w:t>
            </w:r>
          </w:p>
        </w:tc>
        <w:tc>
          <w:tcPr>
            <w:tcW w:type="dxa" w:w="204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Strom (kgCO₂e/kWh)</w:t>
            </w:r>
          </w:p>
        </w:tc>
        <w:tc>
          <w:tcPr>
            <w:tcW w:type="dxa" w:w="204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Bezugsjahr</w:t>
            </w:r>
          </w:p>
        </w:tc>
        <w:tc>
          <w:tcPr>
            <w:tcW w:type="dxa" w:w="204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 [V]</w:t>
            </w:r>
          </w:p>
        </w:tc>
        <w:tc>
          <w:tcPr>
            <w:tcW w:type="dxa" w:w="204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Trend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Deutschland (Bundesmix)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0,380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2023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UBA DE (jährlich) [V]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Sinkend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Baden-Württemberg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0,290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2023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LUBW [V]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Sinkend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Bayern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0,310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2023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LfU Bayern [V]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Sinkend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Österreich (Bundesmix)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0,158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2023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AT (jährlich) [V]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Sinkend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Steiermark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0,142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2023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UBA AT [V]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Wien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0,135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2023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AT [V]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Schweiz (Bundesmix)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0,128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2023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BAFU / ElCom CH (jährlich) [V]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Sinkend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Kanton Graubünden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0,055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2023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ElCom CH [V]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Kanton Zürich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0,095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2023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ElCom CH [V]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EU-Durchschnitt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0,276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2023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EEA (jährlich) [V]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Sinkend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Wichtig: Die deutschen Strememissionsfaktoren sinken jährlich durch den Ausbau erneuerbarer Energien. Immer den aktuellen UBA-Faktor verwenden — nie ältere Versionen für laufende Berichte.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S2.2 — Strom: Market-based (Ökostrom mit Herkunftsnachweis)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Nachweis-Typ</w:t>
            </w:r>
          </w:p>
        </w:tc>
        <w:tc>
          <w:tcPr>
            <w:tcW w:type="dxa" w:w="255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Strom (kgCO₂e/kWh)</w:t>
            </w:r>
          </w:p>
        </w:tc>
        <w:tc>
          <w:tcPr>
            <w:tcW w:type="dxa" w:w="255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Voraussetzung</w:t>
            </w:r>
          </w:p>
        </w:tc>
        <w:tc>
          <w:tcPr>
            <w:tcW w:type="dxa" w:w="255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Ökostromvertrag mit HKN (DE)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0,000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Gültige Herkunftsnachweise vorhanden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AIB-Methodik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Ökostromvertrag mit HKN (AT)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Gültige HKN (e-control.at)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AIB-Methodik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Ökostromvertrag mit HKN (CH)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0,000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Gültige HKN (pronovo.ch)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AIB-Methodik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PV-Eigenerzeugung (vor Ort)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Eigenproduktion &lt; Eigenverbrauch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GHG Protocol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PV-Eigenerzeugung (Überschuss ins Netz)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0,000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Nur der selbst genutzte Anteil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GHG Protocol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Kein Nachweis / Standardvertrag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Location-based EF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AIB Residualmix [V]</w:t>
            </w:r>
          </w:p>
        </w:tc>
      </w:tr>
    </w:tbl>
    <w:p/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S2.3 — Fernwärme und Fernkälte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Fernwärmequelle</w:t>
            </w:r>
          </w:p>
        </w:tc>
        <w:tc>
          <w:tcPr>
            <w:tcW w:type="dxa" w:w="255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(kgCO₂e/kWh)</w:t>
            </w:r>
          </w:p>
        </w:tc>
        <w:tc>
          <w:tcPr>
            <w:tcW w:type="dxa" w:w="255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Methodik</w:t>
            </w:r>
          </w:p>
        </w:tc>
        <w:tc>
          <w:tcPr>
            <w:tcW w:type="dxa" w:w="2550"/>
            <w:shd w:val="clear" w:color="auto" w:fill="1A5276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Fernwärme aus KVA (Wien — ERZ)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0,040–0,065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Abwärmenutzung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Wien Energie / ERZ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Fernwärme ewz Zürich (KVA + Biomasse)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0,020–0,045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Primärmix ewz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ewz.ch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Fernwärme aus Erdgaskraft-Wärme-Kopplung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0,085–0,140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Allokatonsmethodik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Fernwärme-Betreiber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Fernwärme aus Wasserkraft-Wärmepumpe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0,005–0,020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Strom-EF × COP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Betreiber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Fernwärme aus Erdgas (ohne KWK)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0,195–0,220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Kesselwirkungsgrad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Fernkälte (elektrisch, Kompressionskälte)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EF Strom / COP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COP typisch 3,5–5,0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Betreiber [V]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Empfehlung: Emissionsfaktor immer direkt beim Fernwärme-Betreiber anfragen — spezifischer Faktor ist verlässlicher als Durchschnittswerte.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1F618D"/>
          <w:sz w:val="24"/>
        </w:rPr>
        <w:t>SCOPE 3 — INDIREKTE EMISSIONEN WERTSCHÖPFUNGSKETTE</w:t>
      </w:r>
    </w:p>
    <w:p>
      <w:pPr>
        <w:spacing w:after="60"/>
      </w:pPr>
      <w:r>
        <w:rPr>
          <w:color w:val="1F618D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S3.1 — Upstream-Transport (Kategorie 4)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Transportmittel</w:t>
            </w:r>
          </w:p>
        </w:tc>
        <w:tc>
          <w:tcPr>
            <w:tcW w:type="dxa" w:w="255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(kgCO₂e/tkm)</w:t>
            </w:r>
          </w:p>
        </w:tc>
        <w:tc>
          <w:tcPr>
            <w:tcW w:type="dxa" w:w="255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Anmerkung</w:t>
            </w:r>
          </w:p>
        </w:tc>
        <w:tc>
          <w:tcPr>
            <w:tcW w:type="dxa" w:w="255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LKW &lt;7,5t (Diesel)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0,175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Regionaler Lieferant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LKW 7,5–16t (Diesel)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0,125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Mittlerer Lieferant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LKW &gt;16t (Diesel)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0,080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Grosse Lieferung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LKW Elektro (&lt;7,5t, DE-Mix)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0,040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Zunehmend verfügbar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Bahn (Güterverkehr DE)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0,019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Niedrig durch Ökostromanteil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Bahn (Güterverkehr CH)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0,007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Sehr niedrig (Wasserkraft)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SBB Cargo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Schiff (Binnen)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0,031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Rhein-Transport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Seeschiff (Containerschiff)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0,008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Fernimport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DEFRA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Luftfracht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1,020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Vermeiden — sehr hoch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DEFRA [V]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S3.2 — Gästemobilität (Kategorie 11): Passagierverkehr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Transportmittel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(kgCO₂e/Pkm)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RFI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Total inkl. RFI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Anmerkung</w:t>
            </w:r>
          </w:p>
        </w:tc>
        <w:tc>
          <w:tcPr>
            <w:tcW w:type="dxa" w:w="170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Flug Intra-Europa (&lt;1.500 km)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0,133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×1,9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0,255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Einfache Strecke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DEFRA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Flug Mittelstrecke (1.500–4.000 km)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0,102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×1,9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0,195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DEFRA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Flug Langstrecke (&gt;4.000 km)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0,082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×1,9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0,156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DEFRA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PKW Benzin (Durchschnitt 1,5 Pers.)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0,131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0,131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PKW Diesel (Durchschnitt 1,5 Pers.)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0,115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0,115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PKW Elektro (DE-Mix, 2 Pers.)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0,053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0,053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PKW Elektro (AT-Mix, 2 Pers.)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0,022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0,022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UBA AT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PKW Elektro (CH-Mix, 2 Pers.)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0,012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0,012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BAFU CH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Fernzug ICE / IC (DE)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0,006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0,006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Sehr niedrig (Ökostrom DB)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DB AG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Railjet / IC (AT)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0,004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0,004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ÖBB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IC / IR / RE (CH — SBB)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0,002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0,002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Wasserkraft dominant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SBB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S-Bahn / U-Bahn Stadtverkehr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0,011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0,011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Durchschnitt DACH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Fernbus (DE)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0,027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0,027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Taxi/Uber (Benzin)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0,151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0,151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Einzelbesetzung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Motorrad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0,103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0,103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RFI = Radiative Forcing Index: Korrekturfaktor für Nicht-CO₂-Klimaeffekte des Flugverkehrs (Kondensstreifen, Ozonbildung). DEFRA 2024 empfiehlt ×1,9 für Passagierflüge.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S3.3 — Mitarbeiter-Pendeln (Kategorie 7)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Transportmittel</w:t>
            </w:r>
          </w:p>
        </w:tc>
        <w:tc>
          <w:tcPr>
            <w:tcW w:type="dxa" w:w="255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(kgCO₂e/Pkm)</w:t>
            </w:r>
          </w:p>
        </w:tc>
        <w:tc>
          <w:tcPr>
            <w:tcW w:type="dxa" w:w="255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Anmerkung</w:t>
            </w:r>
          </w:p>
        </w:tc>
        <w:tc>
          <w:tcPr>
            <w:tcW w:type="dxa" w:w="255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PKW Benzin (Alleinfahrer)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0,189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PKW Diesel (Alleinfahrer)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0,171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PKW Benzin (Fahrgemeinschaft 2P)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0,094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Motorrad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0,103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ÖPNV (Bus+Bahn DE, Mix)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0,038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ÖPNV Wien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0,022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Ökostromanteil Wiener Linien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Wiener Linien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Fahrrad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0,000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Zu Fuss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—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Homeoffice (anteilig)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0,000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Nur Heizung/Strom zuhause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GHG Protocol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S3.4 — Abfall (Kategorie 5)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Entsorgungsweg</w:t>
            </w:r>
          </w:p>
        </w:tc>
        <w:tc>
          <w:tcPr>
            <w:tcW w:type="dxa" w:w="255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(kgCO₂e/Tonne)</w:t>
            </w:r>
          </w:p>
        </w:tc>
        <w:tc>
          <w:tcPr>
            <w:tcW w:type="dxa" w:w="255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Anmerkung</w:t>
            </w:r>
          </w:p>
        </w:tc>
        <w:tc>
          <w:tcPr>
            <w:tcW w:type="dxa" w:w="255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Restmüll — Verbrennung KVA (DACH Standard)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207–250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Mit Energierückgewinnung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Restmüll — Deponie (selten in DACH)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467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Ohne Gasverwertung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Bioabfall — Kompostierung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10–15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Bioabfall — Vergärung/Biogas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5–8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Besser als Kompostierung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Papier/Karton — Recycling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21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Glas — Recycling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8–12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Metall — Recycling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5–10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Kunststoff — Recycling (Sortierung)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30–45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Kunststoff — Verbrennung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207–250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Speiseöl/Fette — Biodieselproduktion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10–20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DE [V]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Elektronik — Recycling (WEEE)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Hersteller-Daten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Variiert stark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Hersteller [V]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S3.5 — Investitionsgüter (Kategorie 2) — Referenzwerte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Investitionsgütertyp</w:t>
            </w:r>
          </w:p>
        </w:tc>
        <w:tc>
          <w:tcPr>
            <w:tcW w:type="dxa" w:w="204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(kgCO₂e/Einheit)</w:t>
            </w:r>
          </w:p>
        </w:tc>
        <w:tc>
          <w:tcPr>
            <w:tcW w:type="dxa" w:w="204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Einheit</w:t>
            </w:r>
          </w:p>
        </w:tc>
        <w:tc>
          <w:tcPr>
            <w:tcW w:type="dxa" w:w="204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Anmerkung</w:t>
            </w:r>
          </w:p>
        </w:tc>
        <w:tc>
          <w:tcPr>
            <w:tcW w:type="dxa" w:w="2040"/>
            <w:shd w:val="clear" w:color="auto" w:fill="1F618D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 [V]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Wärmepumpe Luft-Wasser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1.500–3.000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pro Anlage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Herstellungsemissionen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Ecoinvent [V]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PV-Modul (monokristallin)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0,030–0,045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kgCO₂e/kWh Lebenszyklus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Inklusive Herstellung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IEA / IRENA [V]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Kühlschrank Gewerbe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200–400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pro Gerät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Herstellung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Ecoinvent [V]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Geschirrspüler Gewerbe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300–600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pro Gerät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Herstellung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Ecoinvent [V]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Mattress/Bettzeug (Set)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50–100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pro Set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Baumwolle/Polyester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Ecoinvent [V]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Bürostuhl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15–40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pro Stück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Herstellung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Ecoinvent [V]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471A3"/>
          <w:sz w:val="24"/>
        </w:rPr>
        <w:t>AKTUALISIERUNGSQUELLEN</w:t>
      </w:r>
    </w:p>
    <w:p>
      <w:pPr>
        <w:spacing w:after="60"/>
      </w:pPr>
      <w:r>
        <w:rPr>
          <w:color w:val="2471A3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Primärquellen DACH (jährlich zu prüfen)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Quelle</w:t>
            </w:r>
          </w:p>
        </w:tc>
        <w:tc>
          <w:tcPr>
            <w:tcW w:type="dxa" w:w="255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Inhalt</w:t>
            </w:r>
          </w:p>
        </w:tc>
        <w:tc>
          <w:tcPr>
            <w:tcW w:type="dxa" w:w="255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URL</w:t>
            </w:r>
          </w:p>
        </w:tc>
        <w:tc>
          <w:tcPr>
            <w:tcW w:type="dxa" w:w="255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Aktualisierung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UBA Deutschland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Emissionsfaktoren Strom, Energieträger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umweltbundesamt.de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Jährlich Q1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UBA Österreich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Österreichische Emissionsfaktoren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umweltbundesamt.at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Jährlich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BAFU Schweiz / ElCom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Schweizer Strememissionsfaktoren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bafu.admin.ch / elcom.admin.ch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Jährlich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DEFRA (UK DISS)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Transportemissionsfaktoren (internationaler Standard)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gov.uk/defra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Jährlich Q2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IPCC AR6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GWP-Werte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ipcc.ch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Bei neuem Sachstandsbericht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Lebensmittel-Emissionsfaktoren 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agroscope.admin.ch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Bei Publikationen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Ecoinvent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Datenbank Hintergrundprozesse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ecoinvent.org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Jährlich (kostenpflichtig)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AIB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Europäischer Herkunftsnachweise-Rahmen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aib-net.org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Jährlich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DB AG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Strememissionsfaktor Bahnstrom DE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deutschebahn.com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Jährlich</w:t>
            </w:r>
          </w:p>
        </w:tc>
      </w:tr>
      <w:tr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SBB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Emissionsrechner und Faktoren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sbb.ch/umwelt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Jährlich</w:t>
            </w:r>
          </w:p>
        </w:tc>
      </w:tr>
      <w:tr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ÖBB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Emissionsrechner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oebb.at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Jährlich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2. Operative Kalkulatoren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471A3"/>
          <w:sz w:val="24"/>
        </w:rPr>
        <w:t>*Schnellreferenz für die häufigsten Berechnungen im Hotelbetrieb*</w:t>
      </w:r>
    </w:p>
    <w:p>
      <w:pPr>
        <w:spacing w:after="60"/>
      </w:pPr>
      <w:r>
        <w:rPr>
          <w:color w:val="2471A3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Kalkulator 1 — Jahres-THG-Emissionen Scope 1+2 (Vereinfacht)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Eingaben: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Energieträger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Jahresverbrauch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Einheit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Ergebnis tCO₂e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Erdgas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________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0,202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= V × 0,202 / 1000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Heizöl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________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Liter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2,650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V × 2,650 / 1000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Strom (location-based)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________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[Länderfaktor]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= V × EF / 1000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Strom (market-based, HKN)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________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0,000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0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Fernwärme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________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[Betreiberfaktor]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= V × EF / 1000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F-Gas (Nachfüllung)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________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[GWP Kältemittel]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V × GWP / 1000</w:t>
            </w:r>
          </w:p>
        </w:tc>
      </w:tr>
      <w:tr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**SCOPE 1+2 GESAMT**</w:t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**= Summe**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**kgCO₂e/Gästenacht**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Gästenächte: ______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Gesamt × 1000 / GN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Kalkulator 2 — BEHG-Abgabe Deutschland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Formel:</w:t>
      </w:r>
      <w:r>
        <w:rPr>
          <w:rFonts w:ascii="Georgia" w:hAnsi="Georgia"/>
          <w:sz w:val="19"/>
        </w:rPr>
        <w:t xml:space="preserve"> Abgabe CHF = Jahresverbrauch × Emissionsfaktor (tCO₂/Einheit) × BEHG-Preis (€/tCO₂)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Energieträger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Verbrauch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(tCO₂/Einheit)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BEHG-Preis 2026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Jährliche Abgabe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Erdgas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_____ kWh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0,000202 tCO₂/kWh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55 €/tCO₂ [V]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= V × 0,000202 × 55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Heizöl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_____ Liter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0,00265 tCO₂/L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55 €/tCO₂ [V]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V × 0,00265 × 55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Flüssiggas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_____ kg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0,00297 tCO₂/kg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55 €/tCO₂ [V]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= V × 0,00297 × 55</w:t>
            </w:r>
          </w:p>
        </w:tc>
      </w:tr>
      <w:tr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**TOTAL BEHG-Abgabe**</w:t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**= Summe €/Jahr**</w:t>
            </w:r>
          </w:p>
        </w:tc>
      </w:tr>
    </w:tbl>
    <w:p/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BEHG-Preispfad [V — aktuell prüfen auf dehst.de]: 2026: 55 €/tCO₂; 2027ff: progressiv steigend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Kalkulator 3 — CO₂-Abgabe Schweiz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Formel:</w:t>
      </w:r>
      <w:r>
        <w:rPr>
          <w:rFonts w:ascii="Georgia" w:hAnsi="Georgia"/>
          <w:sz w:val="19"/>
        </w:rPr>
        <w:t xml:space="preserve"> Abgabe CHF = Jahresverbrauch × CO₂-Gehalt (tCO₂/Einheit) × 130 CHF/tCO₂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Energieträger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Verbrauch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CO₂-Gehalt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Abgabesatz 2026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Jährliche Abgabe CHF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Heizöl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_____ Liter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0,00265 tCO₂/L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130 CHF/tCO₂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= V × 0,00265 × 130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Erdgas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_____ kWh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0,000202 tCO₂/kWh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130 CHF/tCO₂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V × 0,000202 × 130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Flüssiggas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_____ kg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0,00151 tCO₂/kg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130 CHF/tCO₂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= V × 0,00151 × 130</w:t>
            </w:r>
          </w:p>
        </w:tc>
      </w:tr>
      <w:tr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**TOTAL CO₂-Abgabe CH**</w:t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</w:r>
          </w:p>
        </w:tc>
        <w:tc>
          <w:tcPr>
            <w:tcW w:type="dxa" w:w="2040"/>
            <w:shd w:val="clear" w:color="auto" w:fill="D5E8D4"/>
          </w:tcPr>
          <w:p>
            <w:r>
              <w:rPr>
                <w:rFonts w:ascii="Georgia" w:hAnsi="Georgia"/>
                <w:b/>
                <w:sz w:val="16"/>
              </w:rPr>
              <w:t>**= Summe CHF/Jahr**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Kalkulator 4 — Wärmepumpen-Amortisation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Eingaben: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Parameter</w:t>
            </w:r>
          </w:p>
        </w:tc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Wert</w:t>
            </w:r>
          </w:p>
        </w:tc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Einheit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Aktuelle Heizölmenge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_____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Liter/Jahr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Aktueller Heizölpreis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_____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CHF/Liter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Aktuelle Heizölkosten/Jahr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= Menge × Preis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CHF/Jahr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CO₂-Abgabe Heizöl (CH)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Menge × 0,00265 × 130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CHF/Jahr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**Gesamtkosten Heizöl/Jahr**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= Energiekosten + CO₂-Abgabe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CHF/Jahr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Wärmepumpen-Heizkosten (Strom × EF Wärme)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_____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CHF/Jahr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Jährliche Einsparung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= Heizöl-Gesamtkosten − WP-Heizkosten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CHF/Jahr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Investition Wärmepumpe (netto nach Förderung)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_____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CHF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**Amortisationszeit**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= Investition / Einsparung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Jahre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**Scope-1-Reduktion**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Heizöl-Liter × 0,00265 × 1000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tCO₂e/Jahr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Kalkulator 5 — Gästemobilität Scope 3 Kat.11 (vereinfacht)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Eingaben:</w:t>
      </w:r>
    </w:p>
    <w:p>
      <w:pPr>
        <w:spacing w:after="60"/>
      </w:pPr>
      <w:r>
        <w:rPr>
          <w:rFonts w:ascii="Georgia" w:hAnsi="Georgia"/>
          <w:sz w:val="19"/>
        </w:rPr>
        <w:t>Gästenächte Berichtsjahr: _____</w:t>
      </w:r>
    </w:p>
    <w:p>
      <w:pPr>
        <w:spacing w:after="60"/>
      </w:pPr>
      <w:r>
        <w:rPr>
          <w:rFonts w:ascii="Georgia" w:hAnsi="Georgia"/>
          <w:sz w:val="19"/>
        </w:rPr>
        <w:t>Mittlere Aufenthaltsdauer: _____ Nächte → Gäste = GN / Aufenthalt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Transportmix-Schätzung</w:t>
      </w:r>
      <w:r>
        <w:rPr>
          <w:rFonts w:ascii="Georgia" w:hAnsi="Georgia"/>
          <w:sz w:val="19"/>
        </w:rPr>
        <w:t xml:space="preserve"> (prozentuale Verteilung der Gästeanreisen):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Transportmittel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Anteil %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Durchschnittsdistanz km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EF kgCO₂e/Pkm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kgCO₂e/Gast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PKW (Benzin/Diesel)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___%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___km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0,150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= (A/100) × D × EF × 2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Flug Intra-Europa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___%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___km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0,255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(A/100) × D × EF × 2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Bahn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___%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___km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[Länderfaktor]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= (A/100) × D × EF × 2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Bus/Sonstiges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___%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___km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0,027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(A/100) × D × EF × 2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**Summe**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100%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**= Σ kgCO₂e/Gast**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**Scope 3 Kat.11 gesamt**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= Σ/Gast × Anzahl Gäste / 1000 tCO₂e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80" w:after="120"/>
      </w:pPr>
      <w:r>
        <w:rPr>
          <w:rFonts w:ascii="Georgia" w:hAnsi="Georgia"/>
          <w:b/>
          <w:color w:val="1A1A2E"/>
          <w:sz w:val="26"/>
        </w:rPr>
        <w:t>3. Daten-Integritäts-Governance-Methodik</w:t>
      </w:r>
    </w:p>
    <w:p>
      <w:pPr>
        <w:spacing w:after="40"/>
      </w:pPr>
    </w:p>
    <w:p>
      <w:pPr>
        <w:spacing w:before="280" w:after="100"/>
      </w:pPr>
      <w:r>
        <w:rPr>
          <w:rFonts w:ascii="Georgia" w:hAnsi="Georgia"/>
          <w:b/>
          <w:color w:val="2471A3"/>
          <w:sz w:val="24"/>
        </w:rPr>
        <w:t>*Strukturierter Rahmen für die Qualitätssicherung von Emissionsinventaren nach ISO 14064-1:2018*</w:t>
      </w:r>
    </w:p>
    <w:p>
      <w:pPr>
        <w:spacing w:after="60"/>
      </w:pPr>
      <w:r>
        <w:rPr>
          <w:color w:val="2471A3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Normative Referenz:</w:t>
      </w:r>
      <w:r>
        <w:rPr>
          <w:rFonts w:ascii="Georgia" w:hAnsi="Georgia"/>
          <w:sz w:val="19"/>
        </w:rPr>
        <w:t xml:space="preserve"> ISO 14064-1:2018 Abschnitt 7; GHG Protocol Assurance; ESRS E1 (Verifikationsanforderungen)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Vorbemerkung: Warum Daten-Governance für ISO 14001:2026 zentral ist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 xml:space="preserve">Die ISO 14001:2026 verstärkt in Klausel 7.5 (Dokumentation) und Klausel 9.1 (Monitoring) explizit die Anforderungen an die </w:t>
      </w:r>
      <w:r>
        <w:rPr>
          <w:rFonts w:ascii="Georgia" w:hAnsi="Georgia"/>
          <w:b/>
          <w:sz w:val="19"/>
        </w:rPr>
        <w:t>Qualität und Verlässlichkeit der Umweltdaten</w:t>
      </w:r>
      <w:r>
        <w:rPr>
          <w:rFonts w:ascii="Georgia" w:hAnsi="Georgia"/>
          <w:sz w:val="19"/>
        </w:rPr>
        <w:t>. Ein Inventar, das auf nicht nachvollziehbaren oder inkonsistenten Daten basiert, ist für externe Verifizierer nicht abnahmefähig — und für Corporate-Kunden mit CSRD-Pflichten nicht verwendbar.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Die drei häufigsten Datenqualitätsprobleme in Hotel-Inventaren:</w:t>
      </w:r>
    </w:p>
    <w:p>
      <w:pPr>
        <w:spacing w:after="60"/>
      </w:pPr>
      <w:r>
        <w:rPr>
          <w:rFonts w:ascii="Georgia" w:hAnsi="Georgia"/>
          <w:sz w:val="19"/>
        </w:rPr>
        <w:t>1. Datenquellen-Inkonsistenz: verschiedene Emissionsfaktoren für dasselbe Berichtsjahr</w:t>
      </w:r>
    </w:p>
    <w:p>
      <w:pPr>
        <w:spacing w:after="60"/>
      </w:pPr>
      <w:r>
        <w:rPr>
          <w:rFonts w:ascii="Georgia" w:hAnsi="Georgia"/>
          <w:sz w:val="19"/>
        </w:rPr>
        <w:t>2. Aktivitätsdaten-Lücken: fehlende Verbrauchsdaten für einzelne Monate oder Bereiche</w:t>
      </w:r>
    </w:p>
    <w:p>
      <w:pPr>
        <w:spacing w:after="60"/>
      </w:pPr>
      <w:r>
        <w:rPr>
          <w:rFonts w:ascii="Georgia" w:hAnsi="Georgia"/>
          <w:sz w:val="19"/>
        </w:rPr>
        <w:t>3. Methodenwechsel ohne Dokumentation: Baseline wird verändert ohne explizite Rekalibrierung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1 — Fünf Prinzipien der Daten-Governance (GHG Protocol)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Prinzip 1 — Relevanz (Relevance):</w:t>
      </w:r>
    </w:p>
    <w:p>
      <w:pPr>
        <w:spacing w:after="60"/>
      </w:pPr>
      <w:r>
        <w:rPr>
          <w:rFonts w:ascii="Georgia" w:hAnsi="Georgia"/>
          <w:sz w:val="19"/>
        </w:rPr>
        <w:t>Das Inventar muss alle wesentlichen Emissionsquellen abdecken. Nicht-Wesentlichkeit muss explizit begründet werden.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Prinzip 2 — Vollständigkeit (Completeness):</w:t>
      </w:r>
    </w:p>
    <w:p>
      <w:pPr>
        <w:spacing w:after="60"/>
      </w:pPr>
      <w:r>
        <w:rPr>
          <w:rFonts w:ascii="Georgia" w:hAnsi="Georgia"/>
          <w:sz w:val="19"/>
        </w:rPr>
        <w:t>Alle Quellen innerhalb der definierten Systemgrenze müssen erfasst sein. Ausnahmen sind zu dokumentieren.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Prinzip 3 — Konsistenz (Consistency):</w:t>
      </w:r>
    </w:p>
    <w:p>
      <w:pPr>
        <w:spacing w:after="60"/>
      </w:pPr>
      <w:r>
        <w:rPr>
          <w:rFonts w:ascii="Georgia" w:hAnsi="Georgia"/>
          <w:sz w:val="19"/>
        </w:rPr>
        <w:t>Gleiche Methodik muss über alle Berichtsjahre angewendet werden, um Vergleichbarkeit zu gewährleisten.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Prinzip 4 — Transparenz (Transparency):</w:t>
      </w:r>
    </w:p>
    <w:p>
      <w:pPr>
        <w:spacing w:after="60"/>
      </w:pPr>
      <w:r>
        <w:rPr>
          <w:rFonts w:ascii="Georgia" w:hAnsi="Georgia"/>
          <w:sz w:val="19"/>
        </w:rPr>
        <w:t>Alle Annahmen, Datenquellen und Methoden müssen dokumentiert und für externe Verifizierer nachvollziehbar sein.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Prinzip 5 — Genauigkeit (Accuracy):</w:t>
      </w:r>
    </w:p>
    <w:p>
      <w:pPr>
        <w:spacing w:after="60"/>
      </w:pPr>
      <w:r>
        <w:rPr>
          <w:rFonts w:ascii="Georgia" w:hAnsi="Georgia"/>
          <w:sz w:val="19"/>
        </w:rPr>
        <w:t>Emissionen sollen weder systematisch überschätzt noch unterschätzt werden. Unsicherheiten sind zu quantifizieren.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2 — Daten-Governance-Prozess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2.1 — Datenerhebungs-Protokoll (monatlich)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Datentyp</w:t>
            </w:r>
          </w:p>
        </w:tc>
        <w:tc>
          <w:tcPr>
            <w:tcW w:type="dxa" w:w="17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Datenquelle</w:t>
            </w:r>
          </w:p>
        </w:tc>
        <w:tc>
          <w:tcPr>
            <w:tcW w:type="dxa" w:w="17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Verantwortlicher</w:t>
            </w:r>
          </w:p>
        </w:tc>
        <w:tc>
          <w:tcPr>
            <w:tcW w:type="dxa" w:w="17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Erhebungsfrequenz</w:t>
            </w:r>
          </w:p>
        </w:tc>
        <w:tc>
          <w:tcPr>
            <w:tcW w:type="dxa" w:w="17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Format</w:t>
            </w:r>
          </w:p>
        </w:tc>
        <w:tc>
          <w:tcPr>
            <w:tcW w:type="dxa" w:w="17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Ablageort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Erdgas-Verbrauch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Zähler / Gasrechnung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Monatlich (Zählerstand)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ISO-Datenordner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Heizöl-Verbrauch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Lieferschein + Füllstandsmanometer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Bei Lieferung + monatlich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Liter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ISO-Datenordner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Strom-Verbrauch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Zähler / Stromrechnung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ISO-Datenordner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Fernwärme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Zähler / Fernwärmerechnung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kWh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ISO-Datenordner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F-Gas-Leckagen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F-Gas-Register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Bei Wartung / Jährlich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kg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F-Gas-Register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Fahrzeugkilometer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Fahrtenbuch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km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Fahrtenbuch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Abfallmengen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Wiegezettel Entsorger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Nachhaltigkeitsbeauftragte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Wöchentlich/Monatlich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kg/Tonne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ISO-Datenordner</w:t>
            </w:r>
          </w:p>
        </w:tc>
      </w:tr>
      <w:tr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Gästenächte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PMS-Export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Frontdesk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Nächte</w:t>
            </w:r>
          </w:p>
        </w:tc>
        <w:tc>
          <w:tcPr>
            <w:tcW w:type="dxa" w:w="17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PMS / ISO-Datenordner</w:t>
            </w:r>
          </w:p>
        </w:tc>
      </w:tr>
      <w:tr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Einkaufsmengen (F&amp;B)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Warenwirtschaft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Einkauf / F&amp;B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Monatlich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kg/Liter</w:t>
            </w:r>
          </w:p>
        </w:tc>
        <w:tc>
          <w:tcPr>
            <w:tcW w:type="dxa" w:w="1700"/>
          </w:tcPr>
          <w:p>
            <w:r>
              <w:rPr>
                <w:rFonts w:ascii="Georgia" w:hAnsi="Georgia"/>
                <w:sz w:val="16"/>
              </w:rPr>
              <w:t>Warenwirtschaft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2.2 — Datenqualitäts-Bewertungssystem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Für jede Datenzeile im Inventar wird die Datenqualität bewertet: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Qualitätsstufe</w:t>
            </w:r>
          </w:p>
        </w:tc>
        <w:tc>
          <w:tcPr>
            <w:tcW w:type="dxa" w:w="255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Bezeichnung</w:t>
            </w:r>
          </w:p>
        </w:tc>
        <w:tc>
          <w:tcPr>
            <w:tcW w:type="dxa" w:w="255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Beschreibung</w:t>
            </w:r>
          </w:p>
        </w:tc>
        <w:tc>
          <w:tcPr>
            <w:tcW w:type="dxa" w:w="255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Unsicherheit</w:t>
            </w:r>
          </w:p>
        </w:tc>
      </w:tr>
      <w:tr>
        <w:tc>
          <w:tcPr>
            <w:tcW w:type="dxa" w:w="2550"/>
            <w:shd w:val="clear" w:color="auto" w:fill="D5F5E3"/>
          </w:tcPr>
          <w:p>
            <w:r>
              <w:rPr>
                <w:rFonts w:ascii="Georgia" w:hAnsi="Georgia"/>
                <w:sz w:val="16"/>
              </w:rPr>
              <w:t>DQ-1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Primärdatum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Direkte Messung am Zähler; kalibriertes Instrument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±2–5%</w:t>
            </w:r>
          </w:p>
        </w:tc>
      </w:tr>
      <w:tr>
        <w:tc>
          <w:tcPr>
            <w:tcW w:type="dxa" w:w="2550"/>
            <w:shd w:val="clear" w:color="auto" w:fill="EBF5FB"/>
          </w:tcPr>
          <w:p>
            <w:r>
              <w:rPr>
                <w:rFonts w:ascii="Georgia" w:hAnsi="Georgia"/>
                <w:sz w:val="16"/>
              </w:rPr>
              <w:t>DQ-2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Sekundärdatum verifiziert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Rechnungsdaten; vom Lieferanten bestätigt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±5–10%</w:t>
            </w:r>
          </w:p>
        </w:tc>
      </w:tr>
      <w:tr>
        <w:tc>
          <w:tcPr>
            <w:tcW w:type="dxa" w:w="2550"/>
            <w:shd w:val="clear" w:color="auto" w:fill="FEF9E7"/>
          </w:tcPr>
          <w:p>
            <w:r>
              <w:rPr>
                <w:rFonts w:ascii="Georgia" w:hAnsi="Georgia"/>
                <w:sz w:val="16"/>
              </w:rPr>
              <w:t>DQ-3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Sekundärdatum geschätzt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Schätzung auf Basis von Vorjahreswerten oder Branchendaten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±15–30%</w:t>
            </w:r>
          </w:p>
        </w:tc>
      </w:tr>
      <w:tr>
        <w:tc>
          <w:tcPr>
            <w:tcW w:type="dxa" w:w="2550"/>
            <w:shd w:val="clear" w:color="auto" w:fill="FDEBD0"/>
          </w:tcPr>
          <w:p>
            <w:r>
              <w:rPr>
                <w:rFonts w:ascii="Georgia" w:hAnsi="Georgia"/>
                <w:sz w:val="16"/>
              </w:rPr>
              <w:t>DQ-4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Proxy-Daten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Branchendurchschnitt ohne standortspezifische Verifikation</w:t>
            </w:r>
          </w:p>
        </w:tc>
        <w:tc>
          <w:tcPr>
            <w:tcW w:type="dxa" w:w="255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±30–60%</w:t>
            </w:r>
          </w:p>
        </w:tc>
      </w:tr>
      <w:tr>
        <w:tc>
          <w:tcPr>
            <w:tcW w:type="dxa" w:w="2550"/>
            <w:shd w:val="clear" w:color="auto" w:fill="FADBD8"/>
          </w:tcPr>
          <w:p>
            <w:r>
              <w:rPr>
                <w:rFonts w:ascii="Georgia" w:hAnsi="Georgia"/>
                <w:sz w:val="16"/>
              </w:rPr>
              <w:t>DQ-5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Inferenzdaten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Berechnet aus nicht direkt messbaren Parametern</w:t>
            </w:r>
          </w:p>
        </w:tc>
        <w:tc>
          <w:tcPr>
            <w:tcW w:type="dxa" w:w="2550"/>
          </w:tcPr>
          <w:p>
            <w:r>
              <w:rPr>
                <w:rFonts w:ascii="Georgia" w:hAnsi="Georgia"/>
                <w:sz w:val="16"/>
              </w:rPr>
              <w:t>±50–100%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Mindestanforderungen nach Scope: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Scope 1: Mindestens DQ-2 für alle wesentlichen Quellen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Scope 2: Mindestens DQ-2 (Stromrechnung)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Scope 3 Kat.1: DQ-3 akzeptabel als Einstieg; Ziel DQ-2 für Hauptkategorien</w:t>
      </w:r>
    </w:p>
    <w:p>
      <w:pPr>
        <w:pStyle w:val="ListBullet"/>
        <w:spacing w:after="40"/>
      </w:pPr>
      <w:r>
        <w:rPr>
          <w:rFonts w:ascii="Georgia" w:hAnsi="Georgia"/>
          <w:sz w:val="19"/>
        </w:rPr>
        <w:t>Scope 3 Kat.11: DQ-4 akzeptabel (HCMI-Methodik)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2.3 — Plausibilitätsprüfungen (monatlich und jährlich)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Monatliche Schnellprüfung: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Prüfung</w:t>
            </w:r>
          </w:p>
        </w:tc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Schwellenwert Auffälligkeit</w:t>
            </w:r>
          </w:p>
        </w:tc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Massnahme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Stromverbrauch vs. Vormonat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&gt;±20% Abweichung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Verbrauchsanalyse; Zähler prüfen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Stromverbrauch vs. Vorjahresmonat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&gt;±15% bei gleicher Belegung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Ursachenanalyse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Erdgas vs. Gradtagzahl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&gt;±25% Abweichung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Heizanlage prüfen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F-Gas-Nachfüllung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&gt;2 kg / Anlage / Monat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Leckagesuche sofort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Abfallmenge vs. Belegung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&gt;±30% Abweichung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Trennungs-Check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Jährliche Qualitätsprüfung (vor Inventar-Abschluss):</w:t>
      </w:r>
    </w:p>
    <w:p>
      <w:pPr>
        <w:spacing w:after="40"/>
      </w:pPr>
    </w:p>
    <w:p>
      <w:pPr>
        <w:spacing w:after="40"/>
        <w:ind w:left="227"/>
      </w:pPr>
      <w:r>
        <w:rPr>
          <w:rFonts w:ascii="Georgia" w:hAnsi="Georgia"/>
          <w:sz w:val="19"/>
        </w:rPr>
        <w:t>☐ Alle 12 Monatswerte vollständig vorhanden (keine Lücken)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Jahressumme plausibel vs. Vorjahr (Abweichung begründet wenn &gt;10%)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Emissionsfaktoren aktuell (nicht älter als 2 Jahre)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Systemgrenze unverändert oder Änderung dokumentiert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Basisjahr-Integrität: keine undokumentierten Änderungen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F-Gas-Register mit Inventar abgestimmt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Scope-3-Kategorien vollständig (alle wesentlichen abgedeckt)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Unsicherheitsschätzung aktualisiert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3 — Basisjahr-Management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3.1 — Wann das Basisjahr neu berechnet werden muss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  <w:t>Das Basisjahr muss rekalibriert werden (rückwirkende Neuberechnung) wenn: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Auslöser</w:t>
            </w:r>
          </w:p>
        </w:tc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Schwellenwert</w:t>
            </w:r>
          </w:p>
        </w:tc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Dokumentationspflicht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Strukturelle Änderungen (Kauf, Verkauf, Anbau)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&gt;10% Änderung Betriebsgrösse oder Umsatz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Vollständige Rekalibrierung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Methodenwechsel (Emissionsfaktoren)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Wesentliche Auswirkung auf Vergleichbarkeit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Rekalibrierung + Methodenbeschreibung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Datenfehler (entdeckt im Nachhinein)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Fehler &gt;5% Gesamtemissionen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Korrektur + Protokoll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COVID-Jahre als Basisjahr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2020–2021 strukturell atypisch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Alternativer Basisjahr-Zeitraum wählen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3.2 — Dokumentation einer Basisjahr-Rekalibrierung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Vorlage: Rekalibrierungsprotokoll</w:t>
      </w:r>
      <w:r>
        <w:rPr>
          <w:rFonts w:ascii="Georgia" w:hAnsi="Georgia"/>
          <w:sz w:val="19"/>
        </w:rPr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Datum der Rekalibrierung:</w:t>
      </w:r>
      <w:r>
        <w:rPr>
          <w:rFonts w:ascii="Georgia" w:hAnsi="Georgia"/>
          <w:sz w:val="19"/>
        </w:rPr>
        <w:t xml:space="preserve"> _______________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Verantwortlicher:</w:t>
      </w:r>
      <w:r>
        <w:rPr>
          <w:rFonts w:ascii="Georgia" w:hAnsi="Georgia"/>
          <w:sz w:val="19"/>
        </w:rPr>
        <w:t xml:space="preserve"> _______________</w:t>
      </w:r>
    </w:p>
    <w:p>
      <w:pPr>
        <w:spacing w:before="160" w:after="40"/>
      </w:pPr>
      <w:r>
        <w:rPr>
          <w:rFonts w:ascii="Georgia" w:hAnsi="Georgia"/>
          <w:b/>
          <w:color w:val="2C3E50"/>
          <w:sz w:val="21"/>
        </w:rPr>
        <w:t>Auslöser der Rekalibrierung: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Strukturelle Veränderung (Beschreibung: _______________)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Methodenwechsel (Beschreibung: _______________)</w:t>
      </w:r>
    </w:p>
    <w:p>
      <w:pPr>
        <w:spacing w:after="40"/>
        <w:ind w:left="227"/>
      </w:pPr>
      <w:r>
        <w:rPr>
          <w:rFonts w:ascii="Georgia" w:hAnsi="Georgia"/>
          <w:sz w:val="19"/>
        </w:rPr>
        <w:t>☐ Datenfehler-Korrektur (Beschreibung: _______________)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Emissionen Basisjahr vor Rekalibrierung:</w:t>
      </w:r>
      <w:r>
        <w:rPr>
          <w:rFonts w:ascii="Georgia" w:hAnsi="Georgia"/>
          <w:sz w:val="19"/>
        </w:rPr>
        <w:t xml:space="preserve"> _______ tCO₂e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Emissionen Basisjahr nach Rekalibrierung:</w:t>
      </w:r>
      <w:r>
        <w:rPr>
          <w:rFonts w:ascii="Georgia" w:hAnsi="Georgia"/>
          <w:sz w:val="19"/>
        </w:rPr>
        <w:t xml:space="preserve"> _______ tCO₂e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Veränderung:</w:t>
      </w:r>
      <w:r>
        <w:rPr>
          <w:rFonts w:ascii="Georgia" w:hAnsi="Georgia"/>
          <w:sz w:val="19"/>
        </w:rPr>
        <w:t xml:space="preserve"> _______ tCO₂e / _______%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Begründung der Rekalibrierung:</w:t>
      </w:r>
      <w:r>
        <w:rPr>
          <w:rFonts w:ascii="Georgia" w:hAnsi="Georgia"/>
          <w:sz w:val="19"/>
        </w:rPr>
        <w:t xml:space="preserve"> [Freitext]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Auswirkung auf kommunizierte Reduktionsziele:</w:t>
      </w:r>
      <w:r>
        <w:rPr>
          <w:rFonts w:ascii="Georgia" w:hAnsi="Georgia"/>
          <w:sz w:val="19"/>
        </w:rPr>
        <w:t xml:space="preserve"> [Freitext]</w:t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b/>
          <w:sz w:val="19"/>
        </w:rPr>
        <w:t>Genehmigt durch:</w:t>
      </w:r>
      <w:r>
        <w:rPr>
          <w:rFonts w:ascii="Georgia" w:hAnsi="Georgia"/>
          <w:sz w:val="19"/>
        </w:rPr>
        <w:t xml:space="preserve"> _______________ | </w:t>
      </w:r>
      <w:r>
        <w:rPr>
          <w:rFonts w:ascii="Georgia" w:hAnsi="Georgia"/>
          <w:b/>
          <w:sz w:val="19"/>
        </w:rPr>
        <w:t>Datum:</w:t>
      </w:r>
      <w:r>
        <w:rPr>
          <w:rFonts w:ascii="Georgia" w:hAnsi="Georgia"/>
          <w:sz w:val="19"/>
        </w:rPr>
        <w:t xml:space="preserve"> _______________</w:t>
      </w:r>
    </w:p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4 — Externe Verifikation: Was erwartet werden kann</w:t>
      </w:r>
    </w:p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4.1 — Verifikationsstufen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Stufe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Bezeichnung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Sicherheitsniveau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Typischer Aufwand</w:t>
            </w:r>
          </w:p>
        </w:tc>
        <w:tc>
          <w:tcPr>
            <w:tcW w:type="dxa" w:w="204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Erforderlich für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1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Begrenzte Verifikation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Plausibilitätsniveau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2–5 Tage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Corporate-Kunden Standard</w:t>
            </w:r>
          </w:p>
        </w:tc>
      </w:tr>
      <w:tr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2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Hinreichende Sicherheit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Vollständige Prüfung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5–12 Tage</w:t>
            </w:r>
          </w:p>
        </w:tc>
        <w:tc>
          <w:tcPr>
            <w:tcW w:type="dxa" w:w="204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CSRD; Emissionszertifikate</w:t>
            </w:r>
          </w:p>
        </w:tc>
      </w:tr>
      <w:tr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3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Vollständige Verifikation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ISO-14064-3-konform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8–20 Tage</w:t>
            </w:r>
          </w:p>
        </w:tc>
        <w:tc>
          <w:tcPr>
            <w:tcW w:type="dxa" w:w="2040"/>
          </w:tcPr>
          <w:p>
            <w:r>
              <w:rPr>
                <w:rFonts w:ascii="Georgia" w:hAnsi="Georgia"/>
                <w:sz w:val="16"/>
              </w:rPr>
              <w:t>Hochwertige ESG-Bonds</w:t>
            </w:r>
          </w:p>
        </w:tc>
      </w:tr>
    </w:tbl>
    <w:p/>
    <w:p>
      <w:pPr>
        <w:spacing w:after="40"/>
      </w:pPr>
    </w:p>
    <w:p>
      <w:pPr>
        <w:spacing w:before="160" w:after="40"/>
      </w:pPr>
      <w:r>
        <w:rPr>
          <w:rFonts w:ascii="Georgia" w:hAnsi="Georgia"/>
          <w:b/>
          <w:color w:val="445A6F"/>
          <w:sz w:val="21"/>
        </w:rPr>
        <w:t>4.2 — Häufige Verifizierer-Feststellungen (und wie man sie vermeidet)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Häufige Feststellung</w:t>
            </w:r>
          </w:p>
        </w:tc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Ursache</w:t>
            </w:r>
          </w:p>
        </w:tc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Präventivmassnahme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"Emissionsfaktoren nicht dokumentiert"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EF im Inventar ohne Quellenangabe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EF-Quellenverzeichnis als Anlage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"Aktivitätsdaten nicht rückverfolgbar"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Keine Primärbelege aufbewahrt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Zählerstandprotokolle + Rechnungen archivieren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"Inkonsistente Methodologie"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Verschiedene EF-Versionen in einem Bericht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Einheitliches EF-Dokument für ganzes Berichtsjahr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"Wesentliche Quelle nicht abgedeckt"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F-Gas oder Kategorie 11 fehlt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Vollständigkeits-Checkliste vor Abschluss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"Unsicherheit nicht quantifiziert"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Keine DQ-Bewertung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DQ-Rating für jede Datenzeile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"Basisjahr nicht begründet"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Auswahl ohne Dokumentation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Basisjahr-Begründung im Systembeschrieb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before="200" w:after="60"/>
      </w:pPr>
      <w:r>
        <w:rPr>
          <w:rFonts w:ascii="Georgia" w:hAnsi="Georgia"/>
          <w:b/>
          <w:color w:val="1A5276"/>
          <w:sz w:val="22"/>
        </w:rPr>
        <w:t>Abschnitt 5 — Jährlicher Inventar-Abschluss-Kalender</w:t>
      </w:r>
    </w:p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Monat</w:t>
            </w:r>
          </w:p>
        </w:tc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Aktivität</w:t>
            </w:r>
          </w:p>
        </w:tc>
        <w:tc>
          <w:tcPr>
            <w:tcW w:type="dxa" w:w="3400"/>
            <w:shd w:val="clear" w:color="auto" w:fill="2471A3"/>
          </w:tcPr>
          <w:p>
            <w:r/>
            <w:r>
              <w:rPr>
                <w:rFonts w:ascii="Georgia" w:hAnsi="Georgia"/>
                <w:b/>
                <w:color w:val="FFFFFF"/>
                <w:sz w:val="16"/>
              </w:rPr>
              <w:t>Verantwortlicher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Januar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Jahresverbrauchsdaten vollständig erheben und abgleichen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Haustechnikleiter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Februar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Emissionsfaktoren aktualisieren (neue UBA/BAFU-Veröffentlichungen prüfen)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Nachhaltigkeitsbeauftragte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März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Scope-1+2-Inventar berechnen und Plausibilitätsprüfung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Nachhaltigkeitsbeauftragte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April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Scope-3-Prioritätskategorien berechnen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Nachhaltigkeitsbeauftragte + Einkauf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Mai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Vollständiges Inventar mit DQ-Bewertung finalisieren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Nachhaltigkeitsbeauftragte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Mai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Interne Qualitätsprüfung (Vier-Augen-Prinzip)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GD + Nachhaltigkeitsbeauftragte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Juni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Externe Verifikation (wenn geplant)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Akkreditierter Verifizierer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Juli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Nachhaltigkeitsbericht veröffentlichen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Nachhaltigkeitsbeauftragte + Marketing</w:t>
            </w:r>
          </w:p>
        </w:tc>
      </w:tr>
      <w:tr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September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Zieldefinition Folgejahr auf Basis aktueller Inventardaten</w:t>
            </w:r>
          </w:p>
        </w:tc>
        <w:tc>
          <w:tcPr>
            <w:tcW w:type="dxa" w:w="3400"/>
          </w:tcPr>
          <w:p>
            <w:r>
              <w:rPr>
                <w:rFonts w:ascii="Georgia" w:hAnsi="Georgia"/>
                <w:sz w:val="16"/>
              </w:rPr>
              <w:t>GD + Nachhaltigkeitsbeauftragte</w:t>
            </w:r>
          </w:p>
        </w:tc>
      </w:tr>
      <w:tr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Dezember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Managementbewertungsriesame: Inventar als Systemkennzahl</w:t>
            </w:r>
          </w:p>
        </w:tc>
        <w:tc>
          <w:tcPr>
            <w:tcW w:type="dxa" w:w="3400"/>
            <w:shd w:val="clear" w:color="auto" w:fill="F8F9FA"/>
          </w:tcPr>
          <w:p>
            <w:r>
              <w:rPr>
                <w:rFonts w:ascii="Georgia" w:hAnsi="Georgia"/>
                <w:sz w:val="16"/>
              </w:rPr>
              <w:t>Alle</w:t>
            </w:r>
          </w:p>
        </w:tc>
      </w:tr>
    </w:tbl>
    <w:p/>
    <w:p>
      <w:pPr>
        <w:spacing w:after="40"/>
      </w:pPr>
    </w:p>
    <w:p>
      <w:pPr>
        <w:spacing w:before="120" w:after="12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40"/>
      </w:pP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Dokument erstellt von Francesco Dore — buecher.effedore.com</w:t>
      </w:r>
      <w:r>
        <w:rPr>
          <w:rFonts w:ascii="Georgia" w:hAnsi="Georgia"/>
          <w:sz w:val="19"/>
        </w:rPr>
      </w:r>
    </w:p>
    <w:p>
      <w:pPr>
        <w:spacing w:after="60"/>
      </w:pPr>
      <w:r>
        <w:rPr>
          <w:rFonts w:ascii="Georgia" w:hAnsi="Georgia"/>
          <w:sz w:val="19"/>
        </w:rPr>
      </w:r>
      <w:r>
        <w:rPr>
          <w:rFonts w:ascii="Georgia" w:hAnsi="Georgia"/>
          <w:i/>
          <w:sz w:val="19"/>
        </w:rPr>
        <w:t>Schriftenreihe „Das Steuer und die Lupe" — ISO 14001:2026 — Umweltmanagementsysteme für das Gastgewerbe DACH</w:t>
      </w:r>
      <w:r>
        <w:rPr>
          <w:rFonts w:ascii="Georgia" w:hAnsi="Georgia"/>
          <w:sz w:val="19"/>
        </w:rPr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Georgia" w:hAnsi="Georgi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