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120"/>
      </w:pPr>
      <w:r>
        <w:rPr>
          <w:rFonts w:ascii="Georgia" w:hAnsi="Georgia"/>
          <w:b/>
          <w:color w:val="1A1A2E"/>
          <w:sz w:val="28"/>
        </w:rPr>
        <w:t>ONLINE-PLATTFORM — buecher.effedore.com</w:t>
      </w:r>
    </w:p>
    <w:p>
      <w:pPr>
        <w:spacing w:after="40"/>
      </w:pPr>
    </w:p>
    <w:p>
      <w:pPr>
        <w:spacing w:before="320" w:after="120"/>
      </w:pPr>
      <w:r>
        <w:rPr>
          <w:rFonts w:ascii="Georgia" w:hAnsi="Georgia"/>
          <w:b/>
          <w:color w:val="1A1A2E"/>
          <w:sz w:val="28"/>
        </w:rPr>
        <w:t>Material zu Unterkapitel 1.6</w:t>
      </w:r>
    </w:p>
    <w:p>
      <w:pPr>
        <w:spacing w:after="40"/>
      </w:pPr>
    </w:p>
    <w:p>
      <w:pPr>
        <w:spacing w:before="160" w:after="160"/>
      </w:pPr>
      <w:r>
        <w:rPr>
          <w:color w:val="CCCCCC"/>
          <w:sz w:val="16"/>
        </w:rPr>
        <w:t>────────────────────────────────────────────────────────────────────────────────</w:t>
      </w:r>
    </w:p>
    <w:p>
      <w:pPr>
        <w:spacing w:after="40"/>
      </w:pPr>
    </w:p>
    <w:p>
      <w:pPr>
        <w:spacing w:before="320" w:after="120"/>
      </w:pPr>
      <w:r>
        <w:rPr>
          <w:rFonts w:ascii="Georgia" w:hAnsi="Georgia"/>
          <w:b/>
          <w:color w:val="1A1A2E"/>
          <w:sz w:val="28"/>
        </w:rPr>
        <w:t>ESG-Disclosure internationaler Hotelketten — Analyse guter Praktiken und Kritikpunkte</w:t>
      </w:r>
    </w:p>
    <w:p>
      <w:pPr>
        <w:spacing w:after="40"/>
      </w:pPr>
    </w:p>
    <w:p>
      <w:pPr>
        <w:spacing w:before="240" w:after="80"/>
      </w:pPr>
      <w:r>
        <w:rPr>
          <w:rFonts w:ascii="Georgia" w:hAnsi="Georgia"/>
          <w:b/>
          <w:color w:val="2C3E50"/>
          <w:sz w:val="24"/>
        </w:rPr>
        <w:t>*Ein kritischer Leitfaden für DACH-Hoteleigentümerschaften: Was von den Großen zu lernen ist — und was nicht*</w:t>
      </w:r>
    </w:p>
    <w:p>
      <w:pPr>
        <w:spacing w:after="40"/>
      </w:pPr>
    </w:p>
    <w:p>
      <w:pPr>
        <w:spacing w:after="80"/>
      </w:pPr>
      <w:r>
        <w:rPr>
          <w:rFonts w:ascii="Georgia" w:hAnsi="Georgia"/>
          <w:sz w:val="21"/>
        </w:rPr>
      </w:r>
      <w:r>
        <w:rPr>
          <w:rFonts w:ascii="Georgia" w:hAnsi="Georgia"/>
          <w:b/>
          <w:sz w:val="21"/>
        </w:rPr>
        <w:t>Dokumentversion:</w:t>
      </w:r>
      <w:r>
        <w:rPr>
          <w:rFonts w:ascii="Georgia" w:hAnsi="Georgia"/>
          <w:sz w:val="21"/>
        </w:rPr>
        <w:t xml:space="preserve"> 1.0 — </w:t>
      </w:r>
      <w:r>
        <w:rPr>
          <w:rFonts w:ascii="Georgia" w:hAnsi="Georgia"/>
          <w:i/>
          <w:sz w:val="21"/>
        </w:rPr>
        <w:t>Aktualisiert zum [Datum der Plattformveröffentlichung]</w:t>
      </w:r>
      <w:r>
        <w:rPr>
          <w:rFonts w:ascii="Georgia" w:hAnsi="Georgia"/>
          <w:sz w:val="21"/>
        </w:rPr>
      </w:r>
    </w:p>
    <w:p>
      <w:pPr>
        <w:spacing w:after="80"/>
      </w:pPr>
      <w:r>
        <w:rPr>
          <w:rFonts w:ascii="Georgia" w:hAnsi="Georgia"/>
          <w:sz w:val="21"/>
        </w:rPr>
      </w:r>
      <w:r>
        <w:rPr>
          <w:rFonts w:ascii="Georgia" w:hAnsi="Georgia"/>
          <w:b/>
          <w:sz w:val="21"/>
        </w:rPr>
        <w:t>Geplante Aktualisierung:</w:t>
      </w:r>
      <w:r>
        <w:rPr>
          <w:rFonts w:ascii="Georgia" w:hAnsi="Georgia"/>
          <w:sz w:val="21"/>
        </w:rPr>
        <w:t xml:space="preserve"> Jährlich, nach Veröffentlichung der Jahresberichte der analysierten Ketten</w:t>
      </w:r>
    </w:p>
    <w:p>
      <w:pPr>
        <w:spacing w:after="80"/>
      </w:pPr>
      <w:r>
        <w:rPr>
          <w:rFonts w:ascii="Georgia" w:hAnsi="Georgia"/>
          <w:sz w:val="21"/>
        </w:rPr>
      </w:r>
      <w:r>
        <w:rPr>
          <w:rFonts w:ascii="Georgia" w:hAnsi="Georgia"/>
          <w:b/>
          <w:sz w:val="21"/>
        </w:rPr>
        <w:t>Hinweis:</w:t>
      </w:r>
      <w:r>
        <w:rPr>
          <w:rFonts w:ascii="Georgia" w:hAnsi="Georgia"/>
          <w:sz w:val="21"/>
        </w:rPr>
        <w:t xml:space="preserve"> Die nachfolgende Analyse basiert auf öffentlich zugänglichen Nachhaltigkeitsberichten und ESG-Daten der genannten Unternehmen. Sie stellt eine redaktionelle Bewertung dar — keine Rechts- oder Investitionsberatung. Alle Daten sind auf den jeweiligen Unternehmenswebsites und Berichtsportalen zu verifizieren.</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Vorbemerkung: Warum die Großen analysieren?</w:t>
      </w:r>
    </w:p>
    <w:p>
      <w:pPr>
        <w:spacing w:after="40"/>
      </w:pPr>
    </w:p>
    <w:p>
      <w:pPr>
        <w:spacing w:after="80"/>
      </w:pPr>
      <w:r>
        <w:rPr>
          <w:rFonts w:ascii="Georgia" w:hAnsi="Georgia"/>
          <w:sz w:val="21"/>
        </w:rPr>
        <w:t>Die ESG-Disclosure internationaler Hotelketten ist für DACH-Hoteleigentümerschaften aus drei Gründen relevant:</w:t>
      </w:r>
    </w:p>
    <w:p>
      <w:pPr>
        <w:spacing w:after="40"/>
      </w:pPr>
    </w:p>
    <w:p>
      <w:pPr>
        <w:spacing w:after="80"/>
      </w:pPr>
      <w:r>
        <w:rPr>
          <w:rFonts w:ascii="Georgia" w:hAnsi="Georgia"/>
          <w:sz w:val="21"/>
        </w:rPr>
      </w:r>
      <w:r>
        <w:rPr>
          <w:rFonts w:ascii="Georgia" w:hAnsi="Georgia"/>
          <w:b/>
          <w:sz w:val="21"/>
        </w:rPr>
        <w:t>Erstens als Benchmark.</w:t>
      </w:r>
      <w:r>
        <w:rPr>
          <w:rFonts w:ascii="Georgia" w:hAnsi="Georgia"/>
          <w:sz w:val="21"/>
        </w:rPr>
        <w:t xml:space="preserve"> Die Großen setzen die Erwartungen der Corporate-Kunden — was Marriott, Hilton oder IHG heute in ihrem ESG-Bericht offenlegen, ist das, was Unternehmenskunden in drei bis fünf Jahren von jedem Hotellieferanten erwarten werden.</w:t>
      </w:r>
    </w:p>
    <w:p>
      <w:pPr>
        <w:spacing w:after="40"/>
      </w:pPr>
    </w:p>
    <w:p>
      <w:pPr>
        <w:spacing w:after="80"/>
      </w:pPr>
      <w:r>
        <w:rPr>
          <w:rFonts w:ascii="Georgia" w:hAnsi="Georgia"/>
          <w:sz w:val="21"/>
        </w:rPr>
      </w:r>
      <w:r>
        <w:rPr>
          <w:rFonts w:ascii="Georgia" w:hAnsi="Georgia"/>
          <w:b/>
          <w:sz w:val="21"/>
        </w:rPr>
        <w:t>Zweitens als Methodenlabor.</w:t>
      </w:r>
      <w:r>
        <w:rPr>
          <w:rFonts w:ascii="Georgia" w:hAnsi="Georgia"/>
          <w:sz w:val="21"/>
        </w:rPr>
        <w:t xml:space="preserve"> Die Großen haben in die Entwicklung ihrer ESG-Methodik erheblich investiert — von der Scope-3-Berechnung bis zur ESRS-kohärenten Berichterstattung. Das KMU kann von dieser Entwicklungsarbeit lernen, ohne sie selbst leisten zu müssen.</w:t>
      </w:r>
    </w:p>
    <w:p>
      <w:pPr>
        <w:spacing w:after="40"/>
      </w:pPr>
    </w:p>
    <w:p>
      <w:pPr>
        <w:spacing w:after="80"/>
      </w:pPr>
      <w:r>
        <w:rPr>
          <w:rFonts w:ascii="Georgia" w:hAnsi="Georgia"/>
          <w:sz w:val="21"/>
        </w:rPr>
      </w:r>
      <w:r>
        <w:rPr>
          <w:rFonts w:ascii="Georgia" w:hAnsi="Georgia"/>
          <w:b/>
          <w:sz w:val="21"/>
        </w:rPr>
        <w:t>Drittens als Warnsystem.</w:t>
      </w:r>
      <w:r>
        <w:rPr>
          <w:rFonts w:ascii="Georgia" w:hAnsi="Georgia"/>
          <w:sz w:val="21"/>
        </w:rPr>
        <w:t xml:space="preserve"> Die Großen machen auch Fehler — Greenwashing-Vorwürfe, methodische Inkohärenzen, Versprechungen ohne operativen Substrat. Das Studium dieser Fehler ist die effizienteste Art, sie zu vermeiden.</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Bewertungsrahmen</w:t>
      </w:r>
    </w:p>
    <w:p>
      <w:pPr>
        <w:spacing w:after="40"/>
      </w:pPr>
    </w:p>
    <w:p>
      <w:pPr>
        <w:spacing w:after="80"/>
      </w:pPr>
      <w:r>
        <w:rPr>
          <w:rFonts w:ascii="Georgia" w:hAnsi="Georgia"/>
          <w:sz w:val="21"/>
        </w:rPr>
        <w:t>Jede Kette wird anhand von fünf Kriterien bewertet:</w:t>
      </w:r>
    </w:p>
    <w:p>
      <w:pPr>
        <w:spacing w:after="40"/>
      </w:pPr>
    </w:p>
    <w:p>
      <w:pPr>
        <w:pStyle w:val="ListBullet"/>
        <w:spacing w:after="40"/>
      </w:pPr>
      <w:r>
        <w:rPr>
          <w:rFonts w:ascii="Georgia" w:hAnsi="Georgia"/>
          <w:sz w:val="20"/>
        </w:rPr>
      </w:r>
      <w:r>
        <w:rPr>
          <w:rFonts w:ascii="Georgia" w:hAnsi="Georgia"/>
          <w:b/>
          <w:sz w:val="20"/>
        </w:rPr>
        <w:t>Vollständigkeit</w:t>
      </w:r>
      <w:r>
        <w:rPr>
          <w:rFonts w:ascii="Georgia" w:hAnsi="Georgia"/>
          <w:sz w:val="20"/>
        </w:rPr>
        <w:t xml:space="preserve"> — Abdeckung aller wesentlichen ESG-Dimensionen</w:t>
      </w:r>
    </w:p>
    <w:p>
      <w:pPr>
        <w:pStyle w:val="ListBullet"/>
        <w:spacing w:after="40"/>
      </w:pPr>
      <w:r>
        <w:rPr>
          <w:rFonts w:ascii="Georgia" w:hAnsi="Georgia"/>
          <w:sz w:val="20"/>
        </w:rPr>
      </w:r>
      <w:r>
        <w:rPr>
          <w:rFonts w:ascii="Georgia" w:hAnsi="Georgia"/>
          <w:b/>
          <w:sz w:val="20"/>
        </w:rPr>
        <w:t>Spezifizität</w:t>
      </w:r>
      <w:r>
        <w:rPr>
          <w:rFonts w:ascii="Georgia" w:hAnsi="Georgia"/>
          <w:sz w:val="20"/>
        </w:rPr>
        <w:t xml:space="preserve"> — Quantifizierte, nachvollziehbare Daten statt generischer Aussagen</w:t>
      </w:r>
    </w:p>
    <w:p>
      <w:pPr>
        <w:pStyle w:val="ListBullet"/>
        <w:spacing w:after="40"/>
      </w:pPr>
      <w:r>
        <w:rPr>
          <w:rFonts w:ascii="Georgia" w:hAnsi="Georgia"/>
          <w:sz w:val="20"/>
        </w:rPr>
      </w:r>
      <w:r>
        <w:rPr>
          <w:rFonts w:ascii="Georgia" w:hAnsi="Georgia"/>
          <w:b/>
          <w:sz w:val="20"/>
        </w:rPr>
        <w:t>Methodische Kohärenz</w:t>
      </w:r>
      <w:r>
        <w:rPr>
          <w:rFonts w:ascii="Georgia" w:hAnsi="Georgia"/>
          <w:sz w:val="20"/>
        </w:rPr>
        <w:t xml:space="preserve"> — Konsistenz der Berechnungsmethodik über Perioden hinweg</w:t>
      </w:r>
    </w:p>
    <w:p>
      <w:pPr>
        <w:pStyle w:val="ListBullet"/>
        <w:spacing w:after="40"/>
      </w:pPr>
      <w:r>
        <w:rPr>
          <w:rFonts w:ascii="Georgia" w:hAnsi="Georgia"/>
          <w:sz w:val="20"/>
        </w:rPr>
      </w:r>
      <w:r>
        <w:rPr>
          <w:rFonts w:ascii="Georgia" w:hAnsi="Georgia"/>
          <w:b/>
          <w:sz w:val="20"/>
        </w:rPr>
        <w:t>Verifizierbarkeit</w:t>
      </w:r>
      <w:r>
        <w:rPr>
          <w:rFonts w:ascii="Georgia" w:hAnsi="Georgia"/>
          <w:sz w:val="20"/>
        </w:rPr>
        <w:t xml:space="preserve"> — Externe Verifikation durch Drittpartei</w:t>
      </w:r>
    </w:p>
    <w:p>
      <w:pPr>
        <w:pStyle w:val="ListBullet"/>
        <w:spacing w:after="40"/>
      </w:pPr>
      <w:r>
        <w:rPr>
          <w:rFonts w:ascii="Georgia" w:hAnsi="Georgia"/>
          <w:sz w:val="20"/>
        </w:rPr>
      </w:r>
      <w:r>
        <w:rPr>
          <w:rFonts w:ascii="Georgia" w:hAnsi="Georgia"/>
          <w:b/>
          <w:sz w:val="20"/>
        </w:rPr>
        <w:t>Operative Substanz</w:t>
      </w:r>
      <w:r>
        <w:rPr>
          <w:rFonts w:ascii="Georgia" w:hAnsi="Georgia"/>
          <w:sz w:val="20"/>
        </w:rPr>
        <w:t xml:space="preserve"> — Evidenz, dass die Erklärungen operative Realität widerspiegeln</w:t>
      </w:r>
    </w:p>
    <w:p>
      <w:pPr>
        <w:spacing w:after="40"/>
      </w:pPr>
    </w:p>
    <w:p>
      <w:pPr>
        <w:spacing w:after="80"/>
      </w:pPr>
      <w:r>
        <w:rPr>
          <w:rFonts w:ascii="Georgia" w:hAnsi="Georgia"/>
          <w:sz w:val="21"/>
        </w:rPr>
        <w:t>Bewertungsskala: ⭐ (unzureichend) bis ⭐⭐⭐⭐⭐ (hervorragend)</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1 — Hilton Worldwide</w:t>
      </w:r>
    </w:p>
    <w:p>
      <w:pPr>
        <w:spacing w:after="40"/>
      </w:pPr>
    </w:p>
    <w:p>
      <w:pPr>
        <w:spacing w:after="80"/>
      </w:pPr>
      <w:r>
        <w:rPr>
          <w:rFonts w:ascii="Georgia" w:hAnsi="Georgia"/>
          <w:sz w:val="21"/>
        </w:rPr>
      </w:r>
      <w:r>
        <w:rPr>
          <w:rFonts w:ascii="Georgia" w:hAnsi="Georgia"/>
          <w:b/>
          <w:sz w:val="21"/>
        </w:rPr>
        <w:t>ESG-Programmname:</w:t>
      </w:r>
      <w:r>
        <w:rPr>
          <w:rFonts w:ascii="Georgia" w:hAnsi="Georgia"/>
          <w:sz w:val="21"/>
        </w:rPr>
        <w:t xml:space="preserve"> Travel with Purpose</w:t>
      </w:r>
    </w:p>
    <w:p>
      <w:pPr>
        <w:spacing w:after="80"/>
      </w:pPr>
      <w:r>
        <w:rPr>
          <w:rFonts w:ascii="Georgia" w:hAnsi="Georgia"/>
          <w:sz w:val="21"/>
        </w:rPr>
      </w:r>
      <w:r>
        <w:rPr>
          <w:rFonts w:ascii="Georgia" w:hAnsi="Georgia"/>
          <w:b/>
          <w:sz w:val="21"/>
        </w:rPr>
        <w:t>Berichtsformat:</w:t>
      </w:r>
      <w:r>
        <w:rPr>
          <w:rFonts w:ascii="Georgia" w:hAnsi="Georgia"/>
          <w:sz w:val="21"/>
        </w:rPr>
        <w:t xml:space="preserve"> Jährlicher ESG-Report, GRI-konform, SASB-Hotel-Sektor, TCFD-ausgerichtet</w:t>
      </w:r>
    </w:p>
    <w:p>
      <w:pPr>
        <w:spacing w:after="80"/>
      </w:pPr>
      <w:r>
        <w:rPr>
          <w:rFonts w:ascii="Georgia" w:hAnsi="Georgia"/>
          <w:sz w:val="21"/>
        </w:rPr>
      </w:r>
      <w:r>
        <w:rPr>
          <w:rFonts w:ascii="Georgia" w:hAnsi="Georgia"/>
          <w:b/>
          <w:sz w:val="21"/>
        </w:rPr>
        <w:t>Externe Verifikation:</w:t>
      </w:r>
      <w:r>
        <w:rPr>
          <w:rFonts w:ascii="Georgia" w:hAnsi="Georgia"/>
          <w:sz w:val="21"/>
        </w:rPr>
        <w:t xml:space="preserve"> Ja — Ernst &amp; Young, begrenzte Verifikation ausgewählter Indikatoren</w:t>
      </w:r>
    </w:p>
    <w:p>
      <w:pPr>
        <w:spacing w:after="80"/>
      </w:pPr>
      <w:r>
        <w:rPr>
          <w:rFonts w:ascii="Georgia" w:hAnsi="Georgia"/>
          <w:sz w:val="21"/>
        </w:rPr>
      </w:r>
      <w:r>
        <w:rPr>
          <w:rFonts w:ascii="Georgia" w:hAnsi="Georgia"/>
          <w:b/>
          <w:sz w:val="21"/>
        </w:rPr>
        <w:t>Verfügbarkeit:</w:t>
      </w:r>
      <w:r>
        <w:rPr>
          <w:rFonts w:ascii="Georgia" w:hAnsi="Georgia"/>
          <w:sz w:val="21"/>
        </w:rPr>
        <w:t xml:space="preserve"> esg.hilton.com</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Scope-1-2-3-Vollständigkeit:</w:t>
      </w:r>
      <w:r>
        <w:rPr>
          <w:rFonts w:ascii="Georgia" w:hAnsi="Georgia"/>
          <w:sz w:val="21"/>
        </w:rPr>
        <w:t xml:space="preserve"> Hilton war eine der ersten großen Hotelketten, die ein vollständiges Scope-3-Emissionsinventar nach GHG Protocol veröffentlicht hat — einschließlich Kategorie 11 (Gästemobilität), die für Hotels strukturell die größte Scope-3-Kategorie darstellt und von vielen Ketten bewusst ausgelassen wird.</w:t>
      </w:r>
    </w:p>
    <w:p>
      <w:pPr>
        <w:spacing w:after="40"/>
      </w:pPr>
    </w:p>
    <w:p>
      <w:pPr>
        <w:spacing w:after="80"/>
      </w:pPr>
      <w:r>
        <w:rPr>
          <w:rFonts w:ascii="Georgia" w:hAnsi="Georgia"/>
          <w:sz w:val="21"/>
        </w:rPr>
      </w:r>
      <w:r>
        <w:rPr>
          <w:rFonts w:ascii="Georgia" w:hAnsi="Georgia"/>
          <w:b/>
          <w:sz w:val="21"/>
        </w:rPr>
        <w:t>LightStay-Plattform:</w:t>
      </w:r>
      <w:r>
        <w:rPr>
          <w:rFonts w:ascii="Georgia" w:hAnsi="Georgia"/>
          <w:sz w:val="21"/>
        </w:rPr>
        <w:t xml:space="preserve"> Hilttons proprietäres Umweltmanagement-Tracking-System, das über 7.000 Hotels integriert und standardisierte Daten zu Energie, Wasser, Abfall und CO₂ auf Property-Ebene erfasst. Für das DACH-KMU relevante Lektion: die Disaggregation des Monitorings auf Property-Ebene ist die methodische Grundlage jeder glaubwürdigen ESG-Disclosure.</w:t>
      </w:r>
    </w:p>
    <w:p>
      <w:pPr>
        <w:spacing w:after="40"/>
      </w:pPr>
    </w:p>
    <w:p>
      <w:pPr>
        <w:spacing w:after="80"/>
      </w:pPr>
      <w:r>
        <w:rPr>
          <w:rFonts w:ascii="Georgia" w:hAnsi="Georgia"/>
          <w:sz w:val="21"/>
        </w:rPr>
      </w:r>
      <w:r>
        <w:rPr>
          <w:rFonts w:ascii="Georgia" w:hAnsi="Georgia"/>
          <w:b/>
          <w:sz w:val="21"/>
        </w:rPr>
        <w:t>Science Based Targets:</w:t>
      </w:r>
      <w:r>
        <w:rPr>
          <w:rFonts w:ascii="Georgia" w:hAnsi="Georgia"/>
          <w:sz w:val="21"/>
        </w:rPr>
        <w:t xml:space="preserve"> Hilton hat sich zur SBTi-Ausrichtung seiner Dekarbonisierungsziele verpflichtet — einer der ersten Hotelkonzerne weltweit. Die Ziele wurden nach SBTi-Methodik validiert und sind öffentlich im SBTi-Portal verifizierbar.</w:t>
      </w:r>
    </w:p>
    <w:p>
      <w:pPr>
        <w:spacing w:after="40"/>
      </w:pPr>
    </w:p>
    <w:p>
      <w:pPr>
        <w:spacing w:after="80"/>
      </w:pPr>
      <w:r>
        <w:rPr>
          <w:rFonts w:ascii="Georgia" w:hAnsi="Georgia"/>
          <w:sz w:val="21"/>
        </w:rPr>
      </w:r>
      <w:r>
        <w:rPr>
          <w:rFonts w:ascii="Georgia" w:hAnsi="Georgia"/>
          <w:b/>
          <w:sz w:val="21"/>
        </w:rPr>
        <w:t>Fortschrittsmessung mit Baseline:</w:t>
      </w:r>
      <w:r>
        <w:rPr>
          <w:rFonts w:ascii="Georgia" w:hAnsi="Georgia"/>
          <w:sz w:val="21"/>
        </w:rPr>
        <w:t xml:space="preserve"> Hilton gibt für jeden KPI eine klare Baseline (typisch 2008 oder 2015) an und misst den Fortschritt konsistent. Die mehrjährige Zeitreihe ist für alle Hauptindikatoren verfügbar.</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Franchise-Problem:</w:t>
      </w:r>
      <w:r>
        <w:rPr>
          <w:rFonts w:ascii="Georgia" w:hAnsi="Georgia"/>
          <w:sz w:val="21"/>
        </w:rPr>
        <w:t xml:space="preserve"> Mehr als 80% der Hilton-Hotels sind Franchise- oder Management-Agreements. Der Bericht konsolidiert Daten aus Hotels, über die Hilton keine direkte operative Kontrolle hat. Die Datenqualität schwankt erheblich zwischen eigenen und Franchise-Objekten — ein methodisches Problem, das im Bericht nicht ausreichend transparent gemacht wird.</w:t>
      </w:r>
    </w:p>
    <w:p>
      <w:pPr>
        <w:spacing w:after="40"/>
      </w:pPr>
    </w:p>
    <w:p>
      <w:pPr>
        <w:spacing w:after="80"/>
      </w:pPr>
      <w:r>
        <w:rPr>
          <w:rFonts w:ascii="Georgia" w:hAnsi="Georgia"/>
          <w:sz w:val="21"/>
        </w:rPr>
      </w:r>
      <w:r>
        <w:rPr>
          <w:rFonts w:ascii="Georgia" w:hAnsi="Georgia"/>
          <w:b/>
          <w:sz w:val="21"/>
        </w:rPr>
        <w:t>Gästemobilität Scope 3:</w:t>
      </w:r>
      <w:r>
        <w:rPr>
          <w:rFonts w:ascii="Georgia" w:hAnsi="Georgia"/>
          <w:sz w:val="21"/>
        </w:rPr>
        <w:t xml:space="preserve"> Trotz der grundsätzlichen Einbeziehung von Kategorie 11 (Gästemobilität) verwendet Hilton Schätzungsmethoden, die von unabhängigen Forschern als systematisch unterschätzend kritisiert wurden. Die Anreisemodalitäten der Gäste werden nicht direkt erfasst, sondern aus Durchschnittswerten modelliert.</w:t>
      </w:r>
    </w:p>
    <w:p>
      <w:pPr>
        <w:spacing w:after="40"/>
      </w:pPr>
    </w:p>
    <w:p>
      <w:pPr>
        <w:spacing w:after="80"/>
      </w:pPr>
      <w:r>
        <w:rPr>
          <w:rFonts w:ascii="Georgia" w:hAnsi="Georgia"/>
          <w:sz w:val="21"/>
        </w:rPr>
      </w:r>
      <w:r>
        <w:rPr>
          <w:rFonts w:ascii="Georgia" w:hAnsi="Georgia"/>
          <w:b/>
          <w:sz w:val="21"/>
        </w:rPr>
        <w:t>Wasserrisiko-Tiefe:</w:t>
      </w:r>
      <w:r>
        <w:rPr>
          <w:rFonts w:ascii="Georgia" w:hAnsi="Georgia"/>
          <w:sz w:val="21"/>
        </w:rPr>
        <w:t xml:space="preserve"> Das Wasserkapitel des Berichts enthält aggregierte Verbrauchsdaten auf Konzernebene, ohne die regional differenzierte Wasserrisiko-Exposition der Portfoliohotels adäquat darzustellen. Ein Hotel in Las Vegas und ein Hotel in Zürich tragen fundamental verschiedene Wasserrisikoprofile — die aggregierten Zahlen verbergen dies.</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Die Disaggregation des Monitorings auf Property-Ebene (Hiltons LightStay-Ansatz) ist auch für Einzelhotels und kleine Gruppen umsetzbar — durch strukturiertes Sub-Metering und monatliches Monitoring nach Abteilung. Das Prinzip ist skalierbar.</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2 — Marriott International</w:t>
      </w:r>
    </w:p>
    <w:p>
      <w:pPr>
        <w:spacing w:after="40"/>
      </w:pPr>
    </w:p>
    <w:p>
      <w:pPr>
        <w:spacing w:after="80"/>
      </w:pPr>
      <w:r>
        <w:rPr>
          <w:rFonts w:ascii="Georgia" w:hAnsi="Georgia"/>
          <w:sz w:val="21"/>
        </w:rPr>
      </w:r>
      <w:r>
        <w:rPr>
          <w:rFonts w:ascii="Georgia" w:hAnsi="Georgia"/>
          <w:b/>
          <w:sz w:val="21"/>
        </w:rPr>
        <w:t>ESG-Programmname:</w:t>
      </w:r>
      <w:r>
        <w:rPr>
          <w:rFonts w:ascii="Georgia" w:hAnsi="Georgia"/>
          <w:sz w:val="21"/>
        </w:rPr>
        <w:t xml:space="preserve"> Serve 360: Doing Good in Every Direction</w:t>
      </w:r>
    </w:p>
    <w:p>
      <w:pPr>
        <w:spacing w:after="80"/>
      </w:pPr>
      <w:r>
        <w:rPr>
          <w:rFonts w:ascii="Georgia" w:hAnsi="Georgia"/>
          <w:sz w:val="21"/>
        </w:rPr>
      </w:r>
      <w:r>
        <w:rPr>
          <w:rFonts w:ascii="Georgia" w:hAnsi="Georgia"/>
          <w:b/>
          <w:sz w:val="21"/>
        </w:rPr>
        <w:t>Berichtsformat:</w:t>
      </w:r>
      <w:r>
        <w:rPr>
          <w:rFonts w:ascii="Georgia" w:hAnsi="Georgia"/>
          <w:sz w:val="21"/>
        </w:rPr>
        <w:t xml:space="preserve"> Jährlicher ESG-Report, GRI-Standards (Core), SASB-Accommodation-Sektor, TCFD</w:t>
      </w:r>
    </w:p>
    <w:p>
      <w:pPr>
        <w:spacing w:after="80"/>
      </w:pPr>
      <w:r>
        <w:rPr>
          <w:rFonts w:ascii="Georgia" w:hAnsi="Georgia"/>
          <w:sz w:val="21"/>
        </w:rPr>
      </w:r>
      <w:r>
        <w:rPr>
          <w:rFonts w:ascii="Georgia" w:hAnsi="Georgia"/>
          <w:b/>
          <w:sz w:val="21"/>
        </w:rPr>
        <w:t>Externe Verifikation:</w:t>
      </w:r>
      <w:r>
        <w:rPr>
          <w:rFonts w:ascii="Georgia" w:hAnsi="Georgia"/>
          <w:sz w:val="21"/>
        </w:rPr>
        <w:t xml:space="preserve"> Ja — Bureau Veritas, begrenzte Verifikation</w:t>
      </w:r>
    </w:p>
    <w:p>
      <w:pPr>
        <w:spacing w:after="80"/>
      </w:pPr>
      <w:r>
        <w:rPr>
          <w:rFonts w:ascii="Georgia" w:hAnsi="Georgia"/>
          <w:sz w:val="21"/>
        </w:rPr>
      </w:r>
      <w:r>
        <w:rPr>
          <w:rFonts w:ascii="Georgia" w:hAnsi="Georgia"/>
          <w:b/>
          <w:sz w:val="21"/>
        </w:rPr>
        <w:t>Verfügbarkeit:</w:t>
      </w:r>
      <w:r>
        <w:rPr>
          <w:rFonts w:ascii="Georgia" w:hAnsi="Georgia"/>
          <w:sz w:val="21"/>
        </w:rPr>
        <w:t xml:space="preserve"> marriott.com/serve360</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Lieferkettentransparenz:</w:t>
      </w:r>
      <w:r>
        <w:rPr>
          <w:rFonts w:ascii="Georgia" w:hAnsi="Georgia"/>
          <w:sz w:val="21"/>
        </w:rPr>
        <w:t xml:space="preserve"> Marriott hat als eine der wenigen Hotelketten eine strukturierte Lieferkettenprüfung für seine kritischsten Lieferantenkategorien implementiert. Der Bericht identifiziert die Top-Lieferantenkategorien nach Ausgabenvolumen und Umweltrisiko — ein Ansatz, der direkt mit der ISO-14001:2026-Anforderung zur Wertschöpfungskette korrespondiert.</w:t>
      </w:r>
    </w:p>
    <w:p>
      <w:pPr>
        <w:spacing w:after="40"/>
      </w:pPr>
    </w:p>
    <w:p>
      <w:pPr>
        <w:spacing w:after="80"/>
      </w:pPr>
      <w:r>
        <w:rPr>
          <w:rFonts w:ascii="Georgia" w:hAnsi="Georgia"/>
          <w:sz w:val="21"/>
        </w:rPr>
      </w:r>
      <w:r>
        <w:rPr>
          <w:rFonts w:ascii="Georgia" w:hAnsi="Georgia"/>
          <w:b/>
          <w:sz w:val="21"/>
        </w:rPr>
        <w:t>Human Trafficking Policy:</w:t>
      </w:r>
      <w:r>
        <w:rPr>
          <w:rFonts w:ascii="Georgia" w:hAnsi="Georgia"/>
          <w:sz w:val="21"/>
        </w:rPr>
        <w:t xml:space="preserve"> Marriott ist führend bei der Bekämpfung von Menschenhandel im Gastgewerbe — mit verpflichtenden Schulungsprogrammen für alle Hotels weltweit und einer transparenten Offenlegung der Schulungsquoten. Für DACH-Hotels relevant als Beispiel für die S2-ESRS-Dimension.</w:t>
      </w:r>
    </w:p>
    <w:p>
      <w:pPr>
        <w:spacing w:after="40"/>
      </w:pPr>
    </w:p>
    <w:p>
      <w:pPr>
        <w:spacing w:after="80"/>
      </w:pPr>
      <w:r>
        <w:rPr>
          <w:rFonts w:ascii="Georgia" w:hAnsi="Georgia"/>
          <w:sz w:val="21"/>
        </w:rPr>
      </w:r>
      <w:r>
        <w:rPr>
          <w:rFonts w:ascii="Georgia" w:hAnsi="Georgia"/>
          <w:b/>
          <w:sz w:val="21"/>
        </w:rPr>
        <w:t>Klimarisiko-Integration:</w:t>
      </w:r>
      <w:r>
        <w:rPr>
          <w:rFonts w:ascii="Georgia" w:hAnsi="Georgia"/>
          <w:sz w:val="21"/>
        </w:rPr>
        <w:t xml:space="preserve"> Marriott hat einen strukturierten TCFD-Bericht veröffentlicht, der physische Klimarisiken für sein Portfolio nach Regionen und Szenarien (RCP 4.5 und RCP 8.5) kartiert. Für das DACH-Gastgewerbe relevant: die Methodik der physischen Klimarisikobewertung auf Portfolio-Ebene ist auf Einzelassets anwendbar.</w:t>
      </w:r>
    </w:p>
    <w:p>
      <w:pPr>
        <w:spacing w:after="40"/>
      </w:pPr>
    </w:p>
    <w:p>
      <w:pPr>
        <w:spacing w:after="80"/>
      </w:pPr>
      <w:r>
        <w:rPr>
          <w:rFonts w:ascii="Georgia" w:hAnsi="Georgia"/>
          <w:sz w:val="21"/>
        </w:rPr>
      </w:r>
      <w:r>
        <w:rPr>
          <w:rFonts w:ascii="Georgia" w:hAnsi="Georgia"/>
          <w:b/>
          <w:sz w:val="21"/>
        </w:rPr>
        <w:t>Reparationsquote Nichtkonformitäten:</w:t>
      </w:r>
      <w:r>
        <w:rPr>
          <w:rFonts w:ascii="Georgia" w:hAnsi="Georgia"/>
          <w:sz w:val="21"/>
        </w:rPr>
        <w:t xml:space="preserve"> Marriott offenbart die Anzahl der identifizierten Nichtkonformitäten in internen Audits und die Reparationsquote — ein seltenes Beispiel echter Transparenz über Systemschwächen.</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Aggregationsproblem bei Scope 3:</w:t>
      </w:r>
      <w:r>
        <w:rPr>
          <w:rFonts w:ascii="Georgia" w:hAnsi="Georgia"/>
          <w:sz w:val="21"/>
        </w:rPr>
        <w:t xml:space="preserve"> Marriott verwaltet über 8.000 Hotels in 139 Ländern. Die Scope-3-Berechnung verwendet weitgehend spend-based Methoden mit globalen Durchschnitts-Emissionsfaktoren. Die geografische Disaggregation — entscheidend für die DACH-spezifische Situation — fehlt in der öffentlichen Berichterstattung.</w:t>
      </w:r>
    </w:p>
    <w:p>
      <w:pPr>
        <w:spacing w:after="40"/>
      </w:pPr>
    </w:p>
    <w:p>
      <w:pPr>
        <w:spacing w:after="80"/>
      </w:pPr>
      <w:r>
        <w:rPr>
          <w:rFonts w:ascii="Georgia" w:hAnsi="Georgia"/>
          <w:sz w:val="21"/>
        </w:rPr>
      </w:r>
      <w:r>
        <w:rPr>
          <w:rFonts w:ascii="Georgia" w:hAnsi="Georgia"/>
          <w:b/>
          <w:sz w:val="21"/>
        </w:rPr>
        <w:t>Zielformulierung:</w:t>
      </w:r>
      <w:r>
        <w:rPr>
          <w:rFonts w:ascii="Georgia" w:hAnsi="Georgia"/>
          <w:sz w:val="21"/>
        </w:rPr>
        <w:t xml:space="preserve"> Einige Marriott-Nachhaltigkeitsziele sind in absoluten Zahlen formuliert (gut), aber ohne klare Baseline oder mit wechselnder Baseline-Definition über die Berichtsjahre (schlecht). Dies erschwert die externe Verifizierung des tatsächlichen Fortschritts.</w:t>
      </w:r>
    </w:p>
    <w:p>
      <w:pPr>
        <w:spacing w:after="40"/>
      </w:pPr>
    </w:p>
    <w:p>
      <w:pPr>
        <w:spacing w:after="80"/>
      </w:pPr>
      <w:r>
        <w:rPr>
          <w:rFonts w:ascii="Georgia" w:hAnsi="Georgia"/>
          <w:sz w:val="21"/>
        </w:rPr>
      </w:r>
      <w:r>
        <w:rPr>
          <w:rFonts w:ascii="Georgia" w:hAnsi="Georgia"/>
          <w:b/>
          <w:sz w:val="21"/>
        </w:rPr>
        <w:t>Greenwashing-Exposition:</w:t>
      </w:r>
      <w:r>
        <w:rPr>
          <w:rFonts w:ascii="Georgia" w:hAnsi="Georgia"/>
          <w:sz w:val="21"/>
        </w:rPr>
        <w:t xml:space="preserve"> Marriott ist in mehrere öffentliche Kritiken geraten wegen der Diskrepanz zwischen kommunizierten Nachhaltigkeitszielen und der tatsächlichen Ausbaustrategie (Wachstum in Regionen mit hohem Wasserstriss, fehlende Klimaanforderungen an Franchise-Geber). Die externe Verifikation deckt diese strategische Ebene nicht ab.</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Der TCFD-Rahmen für physische Klimarisiken ist methodisch die fortschrittlichste öffentlich verfügbare Referenz für die Klimarisikobewertung im Gastgewerbe. Die Marriott-TCFD-Berichte (marriott.com) können als Methodenreferenz für die eigene ISO-14001:2026-konforme Risikobewertung verwendet werden.</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3 — IHG (InterContinental Hotels Group)</w:t>
      </w:r>
    </w:p>
    <w:p>
      <w:pPr>
        <w:spacing w:after="40"/>
      </w:pPr>
    </w:p>
    <w:p>
      <w:pPr>
        <w:spacing w:after="80"/>
      </w:pPr>
      <w:r>
        <w:rPr>
          <w:rFonts w:ascii="Georgia" w:hAnsi="Georgia"/>
          <w:sz w:val="21"/>
        </w:rPr>
      </w:r>
      <w:r>
        <w:rPr>
          <w:rFonts w:ascii="Georgia" w:hAnsi="Georgia"/>
          <w:b/>
          <w:sz w:val="21"/>
        </w:rPr>
        <w:t>ESG-Programmname:</w:t>
      </w:r>
      <w:r>
        <w:rPr>
          <w:rFonts w:ascii="Georgia" w:hAnsi="Georgia"/>
          <w:sz w:val="21"/>
        </w:rPr>
        <w:t xml:space="preserve"> Journey to Tomorrow</w:t>
      </w:r>
    </w:p>
    <w:p>
      <w:pPr>
        <w:spacing w:after="80"/>
      </w:pPr>
      <w:r>
        <w:rPr>
          <w:rFonts w:ascii="Georgia" w:hAnsi="Georgia"/>
          <w:sz w:val="21"/>
        </w:rPr>
      </w:r>
      <w:r>
        <w:rPr>
          <w:rFonts w:ascii="Georgia" w:hAnsi="Georgia"/>
          <w:b/>
          <w:sz w:val="21"/>
        </w:rPr>
        <w:t>Berichtsformat:</w:t>
      </w:r>
      <w:r>
        <w:rPr>
          <w:rFonts w:ascii="Georgia" w:hAnsi="Georgia"/>
          <w:sz w:val="21"/>
        </w:rPr>
        <w:t xml:space="preserve"> Jährlicher ESG-Report, GRI-Standards, TCFD, SASB</w:t>
      </w:r>
    </w:p>
    <w:p>
      <w:pPr>
        <w:spacing w:after="80"/>
      </w:pPr>
      <w:r>
        <w:rPr>
          <w:rFonts w:ascii="Georgia" w:hAnsi="Georgia"/>
          <w:sz w:val="21"/>
        </w:rPr>
      </w:r>
      <w:r>
        <w:rPr>
          <w:rFonts w:ascii="Georgia" w:hAnsi="Georgia"/>
          <w:b/>
          <w:sz w:val="21"/>
        </w:rPr>
        <w:t>Externe Verifikation:</w:t>
      </w:r>
      <w:r>
        <w:rPr>
          <w:rFonts w:ascii="Georgia" w:hAnsi="Georgia"/>
          <w:sz w:val="21"/>
        </w:rPr>
        <w:t xml:space="preserve"> Ja — PricewaterhouseCoopers, begrenzte Verifikation</w:t>
      </w:r>
    </w:p>
    <w:p>
      <w:pPr>
        <w:spacing w:after="80"/>
      </w:pPr>
      <w:r>
        <w:rPr>
          <w:rFonts w:ascii="Georgia" w:hAnsi="Georgia"/>
          <w:sz w:val="21"/>
        </w:rPr>
      </w:r>
      <w:r>
        <w:rPr>
          <w:rFonts w:ascii="Georgia" w:hAnsi="Georgia"/>
          <w:b/>
          <w:sz w:val="21"/>
        </w:rPr>
        <w:t>Verfügbarkeit:</w:t>
      </w:r>
      <w:r>
        <w:rPr>
          <w:rFonts w:ascii="Georgia" w:hAnsi="Georgia"/>
          <w:sz w:val="21"/>
        </w:rPr>
        <w:t xml:space="preserve"> ihgplc.com/responsible-business</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Green Engage System:</w:t>
      </w:r>
      <w:r>
        <w:rPr>
          <w:rFonts w:ascii="Georgia" w:hAnsi="Georgia"/>
          <w:sz w:val="21"/>
        </w:rPr>
        <w:t xml:space="preserve"> IHGs proprietäres Umweltmanagement-System auf Property-Ebene, kostenlos für alle Franchise-Hotels verfügbar, mit vier Zertifizierungsstufen (Bronze bis Platinum). Interessant für DACH-KMUs: das System demonstriert, dass strukturiertes Umweltmonitoring auch ohne große IT-Investitionen implementierbar ist.</w:t>
      </w:r>
    </w:p>
    <w:p>
      <w:pPr>
        <w:spacing w:after="40"/>
      </w:pPr>
    </w:p>
    <w:p>
      <w:pPr>
        <w:spacing w:after="80"/>
      </w:pPr>
      <w:r>
        <w:rPr>
          <w:rFonts w:ascii="Georgia" w:hAnsi="Georgia"/>
          <w:sz w:val="21"/>
        </w:rPr>
      </w:r>
      <w:r>
        <w:rPr>
          <w:rFonts w:ascii="Georgia" w:hAnsi="Georgia"/>
          <w:b/>
          <w:sz w:val="21"/>
        </w:rPr>
        <w:t>Scope 3 Kategorie 6 (Geschäftsreisen der Gäste):</w:t>
      </w:r>
      <w:r>
        <w:rPr>
          <w:rFonts w:ascii="Georgia" w:hAnsi="Georgia"/>
          <w:sz w:val="21"/>
        </w:rPr>
        <w:t xml:space="preserve"> IHG ist eine der wenigen Ketten, die einen strukturierten Ansatz zur Schätzung der gästebezogenen Geschäftsreise-Emissionen dokumentiert — wichtig für den MICE-Sektor, wo die An-/Abreise der Teilnehmer den größten Scope-3-Anteil darstellt.</w:t>
      </w:r>
    </w:p>
    <w:p>
      <w:pPr>
        <w:spacing w:after="40"/>
      </w:pPr>
    </w:p>
    <w:p>
      <w:pPr>
        <w:spacing w:after="80"/>
      </w:pPr>
      <w:r>
        <w:rPr>
          <w:rFonts w:ascii="Georgia" w:hAnsi="Georgia"/>
          <w:sz w:val="21"/>
        </w:rPr>
      </w:r>
      <w:r>
        <w:rPr>
          <w:rFonts w:ascii="Georgia" w:hAnsi="Georgia"/>
          <w:b/>
          <w:sz w:val="21"/>
        </w:rPr>
        <w:t>Water Stewardship:</w:t>
      </w:r>
      <w:r>
        <w:rPr>
          <w:rFonts w:ascii="Georgia" w:hAnsi="Georgia"/>
          <w:sz w:val="21"/>
        </w:rPr>
        <w:t xml:space="preserve"> IHG hat eine explizite Water Stewardship Policy, die Hotels in hochstressbelasteten Einzugsgebieten (nach WRI Aqueduct Tool) zu verstärkten Maßnahmen verpflichtet. Für das DACH-Gastgewerbe relevant als Referenz für die ESRS E3-Anforderungen.</w:t>
      </w:r>
    </w:p>
    <w:p>
      <w:pPr>
        <w:spacing w:after="40"/>
      </w:pPr>
    </w:p>
    <w:p>
      <w:pPr>
        <w:spacing w:after="80"/>
      </w:pPr>
      <w:r>
        <w:rPr>
          <w:rFonts w:ascii="Georgia" w:hAnsi="Georgia"/>
          <w:sz w:val="21"/>
        </w:rPr>
      </w:r>
      <w:r>
        <w:rPr>
          <w:rFonts w:ascii="Georgia" w:hAnsi="Georgia"/>
          <w:b/>
          <w:sz w:val="21"/>
        </w:rPr>
        <w:t>Verantwortliche Beschaffung:</w:t>
      </w:r>
      <w:r>
        <w:rPr>
          <w:rFonts w:ascii="Georgia" w:hAnsi="Georgia"/>
          <w:sz w:val="21"/>
        </w:rPr>
        <w:t xml:space="preserve"> IHGs Supplier Code of Conduct mit strukturierten Anforderungen an Umwelt, Arbeitnehmerrechte und Antikorruption — kompatibel mit LkSG-Anforderungen für deutsche Lieferanten.</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Fortschrittsmessung:</w:t>
      </w:r>
      <w:r>
        <w:rPr>
          <w:rFonts w:ascii="Georgia" w:hAnsi="Georgia"/>
          <w:sz w:val="21"/>
        </w:rPr>
        <w:t xml:space="preserve"> IHG hat in den letzten Jahren mehrfach die Baseline seiner Klimaziele verändert — teils aufgrund von Portfolioveränderungen (Verkäufe, Akquisitionen), teils aufgrund methodischer Überarbeitungen. Dies erschwert die Bewertung des tatsächlichen operativen Fortschritts erheblich.</w:t>
      </w:r>
    </w:p>
    <w:p>
      <w:pPr>
        <w:spacing w:after="40"/>
      </w:pPr>
    </w:p>
    <w:p>
      <w:pPr>
        <w:spacing w:after="80"/>
      </w:pPr>
      <w:r>
        <w:rPr>
          <w:rFonts w:ascii="Georgia" w:hAnsi="Georgia"/>
          <w:sz w:val="21"/>
        </w:rPr>
      </w:r>
      <w:r>
        <w:rPr>
          <w:rFonts w:ascii="Georgia" w:hAnsi="Georgia"/>
          <w:b/>
          <w:sz w:val="21"/>
        </w:rPr>
        <w:t>Green Engage Teilnahme:</w:t>
      </w:r>
      <w:r>
        <w:rPr>
          <w:rFonts w:ascii="Georgia" w:hAnsi="Georgia"/>
          <w:sz w:val="21"/>
        </w:rPr>
        <w:t xml:space="preserve"> Trotz der Verfügbarkeit des Systems nehmen nicht alle IHG-Hotels teil. Die Berichterstattung unterscheidet nicht klar zwischen Hotels mit und ohne aktives Green Engage Engagement — was die konsolidierten Zahlen verzerrt.</w:t>
      </w:r>
    </w:p>
    <w:p>
      <w:pPr>
        <w:spacing w:after="40"/>
      </w:pPr>
    </w:p>
    <w:p>
      <w:pPr>
        <w:spacing w:after="80"/>
      </w:pPr>
      <w:r>
        <w:rPr>
          <w:rFonts w:ascii="Georgia" w:hAnsi="Georgia"/>
          <w:sz w:val="21"/>
        </w:rPr>
      </w:r>
      <w:r>
        <w:rPr>
          <w:rFonts w:ascii="Georgia" w:hAnsi="Georgia"/>
          <w:b/>
          <w:sz w:val="21"/>
        </w:rPr>
        <w:t>Biodiversität:</w:t>
      </w:r>
      <w:r>
        <w:rPr>
          <w:rFonts w:ascii="Georgia" w:hAnsi="Georgia"/>
          <w:sz w:val="21"/>
        </w:rPr>
        <w:t xml:space="preserve"> Der Bericht enthält keine strukturierte Biodiversitäts-Risikoanalyse — eine Lücke, die mit den ESRS E4-Anforderungen zunehmend relevant wird.</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Das WRI Aqueduct Tool (aqueduct.wri.org) ist ein kostenloses, öffentlich zugängliches Instrument zur Wasserrisikobewertung nach Standort — es ist die Referenzmethodik, die IHG und andere Großketten verwenden, und ist direkt auch für Einzelhotels anwendbar.</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4 — Accor Group</w:t>
      </w:r>
    </w:p>
    <w:p>
      <w:pPr>
        <w:spacing w:after="40"/>
      </w:pPr>
    </w:p>
    <w:p>
      <w:pPr>
        <w:spacing w:after="80"/>
      </w:pPr>
      <w:r>
        <w:rPr>
          <w:rFonts w:ascii="Georgia" w:hAnsi="Georgia"/>
          <w:sz w:val="21"/>
        </w:rPr>
      </w:r>
      <w:r>
        <w:rPr>
          <w:rFonts w:ascii="Georgia" w:hAnsi="Georgia"/>
          <w:b/>
          <w:sz w:val="21"/>
        </w:rPr>
        <w:t>ESG-Programmname:</w:t>
      </w:r>
      <w:r>
        <w:rPr>
          <w:rFonts w:ascii="Georgia" w:hAnsi="Georgia"/>
          <w:sz w:val="21"/>
        </w:rPr>
        <w:t xml:space="preserve"> Planet 21 → ALL Heartist Fund (neueste Version)</w:t>
      </w:r>
    </w:p>
    <w:p>
      <w:pPr>
        <w:spacing w:after="80"/>
      </w:pPr>
      <w:r>
        <w:rPr>
          <w:rFonts w:ascii="Georgia" w:hAnsi="Georgia"/>
          <w:sz w:val="21"/>
        </w:rPr>
      </w:r>
      <w:r>
        <w:rPr>
          <w:rFonts w:ascii="Georgia" w:hAnsi="Georgia"/>
          <w:b/>
          <w:sz w:val="21"/>
        </w:rPr>
        <w:t>Berichtsformat:</w:t>
      </w:r>
      <w:r>
        <w:rPr>
          <w:rFonts w:ascii="Georgia" w:hAnsi="Georgia"/>
          <w:sz w:val="21"/>
        </w:rPr>
        <w:t xml:space="preserve"> Jährlicher Nachhaltigkeitsbericht, GRI-Standards, TCFD, CSRD-Vorbericht</w:t>
      </w:r>
    </w:p>
    <w:p>
      <w:pPr>
        <w:spacing w:after="80"/>
      </w:pPr>
      <w:r>
        <w:rPr>
          <w:rFonts w:ascii="Georgia" w:hAnsi="Georgia"/>
          <w:sz w:val="21"/>
        </w:rPr>
      </w:r>
      <w:r>
        <w:rPr>
          <w:rFonts w:ascii="Georgia" w:hAnsi="Georgia"/>
          <w:b/>
          <w:sz w:val="21"/>
        </w:rPr>
        <w:t>Externe Verifikation:</w:t>
      </w:r>
      <w:r>
        <w:rPr>
          <w:rFonts w:ascii="Georgia" w:hAnsi="Georgia"/>
          <w:sz w:val="21"/>
        </w:rPr>
        <w:t xml:space="preserve"> Ja — Deloitte, begrenzte Verifikation</w:t>
      </w:r>
    </w:p>
    <w:p>
      <w:pPr>
        <w:spacing w:after="80"/>
      </w:pPr>
      <w:r>
        <w:rPr>
          <w:rFonts w:ascii="Georgia" w:hAnsi="Georgia"/>
          <w:sz w:val="21"/>
        </w:rPr>
      </w:r>
      <w:r>
        <w:rPr>
          <w:rFonts w:ascii="Georgia" w:hAnsi="Georgia"/>
          <w:b/>
          <w:sz w:val="21"/>
        </w:rPr>
        <w:t>Verfügbarkeit:</w:t>
      </w:r>
      <w:r>
        <w:rPr>
          <w:rFonts w:ascii="Georgia" w:hAnsi="Georgia"/>
          <w:sz w:val="21"/>
        </w:rPr>
        <w:t xml:space="preserve"> group.accor.com/sustainability</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CSRD-Vorbereitung:</w:t>
      </w:r>
      <w:r>
        <w:rPr>
          <w:rFonts w:ascii="Georgia" w:hAnsi="Georgia"/>
          <w:sz w:val="21"/>
        </w:rPr>
        <w:t xml:space="preserve"> Accor ist als europäischer börsennotierter Konzern direkt CSRD-pflichtig (Stufe 1) und hat frühzeitig begonnen, seinen Berichterstattungsrahmen auf die ESRS-Standards umzustellen. Der Accor-Bericht ist eine der besten öffentlichen Referenzen für die praktische Umsetzung der ESRS-Anforderungen im Gastgewerbe.</w:t>
      </w:r>
    </w:p>
    <w:p>
      <w:pPr>
        <w:spacing w:after="40"/>
      </w:pPr>
    </w:p>
    <w:p>
      <w:pPr>
        <w:spacing w:after="80"/>
      </w:pPr>
      <w:r>
        <w:rPr>
          <w:rFonts w:ascii="Georgia" w:hAnsi="Georgia"/>
          <w:sz w:val="21"/>
        </w:rPr>
      </w:r>
      <w:r>
        <w:rPr>
          <w:rFonts w:ascii="Georgia" w:hAnsi="Georgia"/>
          <w:b/>
          <w:sz w:val="21"/>
        </w:rPr>
        <w:t>Doppelte Wesentlichkeit (CSRD-Vorbild):</w:t>
      </w:r>
      <w:r>
        <w:rPr>
          <w:rFonts w:ascii="Georgia" w:hAnsi="Georgia"/>
          <w:sz w:val="21"/>
        </w:rPr>
        <w:t xml:space="preserve"> Accor hat als einer der ersten Hotelkonzerne eine formale Doppelte-Wesentlichkeits-Analyse nach ESRS-Methodik durchgeführt und deren Ergebnisse im Bericht offengelegt — mit Transparenz sowohl über das Verfahren als auch über die identifizierten wesentlichen Themen.</w:t>
      </w:r>
    </w:p>
    <w:p>
      <w:pPr>
        <w:spacing w:after="40"/>
      </w:pPr>
    </w:p>
    <w:p>
      <w:pPr>
        <w:spacing w:after="80"/>
      </w:pPr>
      <w:r>
        <w:rPr>
          <w:rFonts w:ascii="Georgia" w:hAnsi="Georgia"/>
          <w:sz w:val="21"/>
        </w:rPr>
      </w:r>
      <w:r>
        <w:rPr>
          <w:rFonts w:ascii="Georgia" w:hAnsi="Georgia"/>
          <w:b/>
          <w:sz w:val="21"/>
        </w:rPr>
        <w:t>Gebäude-Dekarbonisierung:</w:t>
      </w:r>
      <w:r>
        <w:rPr>
          <w:rFonts w:ascii="Georgia" w:hAnsi="Georgia"/>
          <w:sz w:val="21"/>
        </w:rPr>
        <w:t xml:space="preserve"> Accor hat eine der detailliertesten Gebäude-Dekarbonisierungsstrategien im Sektor — mit Property-spezifischen Energieeffizienz-Roadmaps und Renovierungsplänen, die mit dem europäischen Gebäudeenergierahmen kohärent sind. Besonders relevant für DACH-Hotels, die dem GEG/MuKEn-Rahmen unterliegen.</w:t>
      </w:r>
    </w:p>
    <w:p>
      <w:pPr>
        <w:spacing w:after="40"/>
      </w:pPr>
    </w:p>
    <w:p>
      <w:pPr>
        <w:spacing w:after="80"/>
      </w:pPr>
      <w:r>
        <w:rPr>
          <w:rFonts w:ascii="Georgia" w:hAnsi="Georgia"/>
          <w:sz w:val="21"/>
        </w:rPr>
      </w:r>
      <w:r>
        <w:rPr>
          <w:rFonts w:ascii="Georgia" w:hAnsi="Georgia"/>
          <w:b/>
          <w:sz w:val="21"/>
        </w:rPr>
        <w:t>Lokale Lieferkette:</w:t>
      </w:r>
      <w:r>
        <w:rPr>
          <w:rFonts w:ascii="Georgia" w:hAnsi="Georgia"/>
          <w:sz w:val="21"/>
        </w:rPr>
        <w:t xml:space="preserve"> Accor hat strukturierte Programme zur Entwicklung lokaler Lieferketten, mit messbaren Zielen für den Anteil lokaler Einkäufe — ein Good Practice-Beispiel für die ISO-14001:2026-Anforderungen zur Wertschöpfungskette.</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Komplexität und Lesbarkeit:</w:t>
      </w:r>
      <w:r>
        <w:rPr>
          <w:rFonts w:ascii="Georgia" w:hAnsi="Georgia"/>
          <w:sz w:val="21"/>
        </w:rPr>
        <w:t xml:space="preserve"> Der Accor-Nachhaltigkeitsbericht ist einer der komplexesten und umfangreichsten im Sektor — mit mehreren hundert Seiten Dokumentation. Für Corporate-Kunden, die schnell ESG-Informationen benötigen, ist die Navigation schwierig. Good Practice im Inhalt, Verbesserungsbedarf in der Zugänglichkeit.</w:t>
      </w:r>
    </w:p>
    <w:p>
      <w:pPr>
        <w:spacing w:after="40"/>
      </w:pPr>
    </w:p>
    <w:p>
      <w:pPr>
        <w:spacing w:after="80"/>
      </w:pPr>
      <w:r>
        <w:rPr>
          <w:rFonts w:ascii="Georgia" w:hAnsi="Georgia"/>
          <w:sz w:val="21"/>
        </w:rPr>
      </w:r>
      <w:r>
        <w:rPr>
          <w:rFonts w:ascii="Georgia" w:hAnsi="Georgia"/>
          <w:b/>
          <w:sz w:val="21"/>
        </w:rPr>
        <w:t>Franchise-Deckungsgrad:</w:t>
      </w:r>
      <w:r>
        <w:rPr>
          <w:rFonts w:ascii="Georgia" w:hAnsi="Georgia"/>
          <w:sz w:val="21"/>
        </w:rPr>
        <w:t xml:space="preserve"> Accor betreibt einen erheblichen Teil seines Portfolios über Franchise- und Management-Agreements. Die Berichterstattung über Hotels ohne direkte Eigentumsstruktur ist methodisch heterogen.</w:t>
      </w:r>
    </w:p>
    <w:p>
      <w:pPr>
        <w:spacing w:after="40"/>
      </w:pPr>
    </w:p>
    <w:p>
      <w:pPr>
        <w:spacing w:after="80"/>
      </w:pPr>
      <w:r>
        <w:rPr>
          <w:rFonts w:ascii="Georgia" w:hAnsi="Georgia"/>
          <w:sz w:val="21"/>
        </w:rPr>
      </w:r>
      <w:r>
        <w:rPr>
          <w:rFonts w:ascii="Georgia" w:hAnsi="Georgia"/>
          <w:b/>
          <w:sz w:val="21"/>
        </w:rPr>
        <w:t>Kompensationen vs. Reduktionen:</w:t>
      </w:r>
      <w:r>
        <w:rPr>
          <w:rFonts w:ascii="Georgia" w:hAnsi="Georgia"/>
          <w:sz w:val="21"/>
        </w:rPr>
        <w:t xml:space="preserve"> Accor hat in einigen Berichtsjahren Netto-Null-Ansprüche kommuniziert, die erheblich auf CO₂-Kompensationen (Offset-Zertifikate) statt auf echten Emissionsreduktionen basiert haben. Dies wurde von Analysten kritisiert als nicht kohärent mit den SBTi-Anforderungen für Netto-Null-Pfade.</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Der Accor-Nachhaltigkeitsbericht (group.accor.com/sustainability) ist die beste frei verfügbare Referenz für die praktische Umsetzung der ESRS-Anforderungen im europäischen Gastgewerbe. Die Doppelte-Wesentlichkeits-Analyse von Accor kann als Methodenreferenz für die eigene ESRS-Vorbereitung verwendet werden.</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5 — Steigenberger Hotels &amp; Resorts (H World Group)</w:t>
      </w:r>
    </w:p>
    <w:p>
      <w:pPr>
        <w:spacing w:after="40"/>
      </w:pPr>
    </w:p>
    <w:p>
      <w:pPr>
        <w:spacing w:after="80"/>
      </w:pPr>
      <w:r>
        <w:rPr>
          <w:rFonts w:ascii="Georgia" w:hAnsi="Georgia"/>
          <w:sz w:val="21"/>
        </w:rPr>
      </w:r>
      <w:r>
        <w:rPr>
          <w:rFonts w:ascii="Georgia" w:hAnsi="Georgia"/>
          <w:b/>
          <w:sz w:val="21"/>
        </w:rPr>
        <w:t>Relevanz für DACH:</w:t>
      </w:r>
      <w:r>
        <w:rPr>
          <w:rFonts w:ascii="Georgia" w:hAnsi="Georgia"/>
          <w:sz w:val="21"/>
        </w:rPr>
        <w:t xml:space="preserve"> Steigenberger ist die wichtigste deutsche Hotelkette mit DACH-Schwerpunkt — ein direkterer Maßstab für den regionalen Markt als globale Ketten.</w:t>
      </w:r>
    </w:p>
    <w:p>
      <w:pPr>
        <w:spacing w:after="80"/>
      </w:pPr>
      <w:r>
        <w:rPr>
          <w:rFonts w:ascii="Georgia" w:hAnsi="Georgia"/>
          <w:sz w:val="21"/>
        </w:rPr>
      </w:r>
      <w:r>
        <w:rPr>
          <w:rFonts w:ascii="Georgia" w:hAnsi="Georgia"/>
          <w:b/>
          <w:sz w:val="21"/>
        </w:rPr>
        <w:t>Berichtsformat:</w:t>
      </w:r>
      <w:r>
        <w:rPr>
          <w:rFonts w:ascii="Georgia" w:hAnsi="Georgia"/>
          <w:sz w:val="21"/>
        </w:rPr>
        <w:t xml:space="preserve"> Nachhaltigkeitsbericht im Rahmen der H World Group (chinesische Muttergesellschaft), ergänzt durch deutschsprachige Kommunikation</w:t>
      </w:r>
    </w:p>
    <w:p>
      <w:pPr>
        <w:spacing w:after="80"/>
      </w:pPr>
      <w:r>
        <w:rPr>
          <w:rFonts w:ascii="Georgia" w:hAnsi="Georgia"/>
          <w:sz w:val="21"/>
        </w:rPr>
      </w:r>
      <w:r>
        <w:rPr>
          <w:rFonts w:ascii="Georgia" w:hAnsi="Georgia"/>
          <w:b/>
          <w:sz w:val="21"/>
        </w:rPr>
        <w:t>Externe Verifikation:</w:t>
      </w:r>
      <w:r>
        <w:rPr>
          <w:rFonts w:ascii="Georgia" w:hAnsi="Georgia"/>
          <w:sz w:val="21"/>
        </w:rPr>
        <w:t xml:space="preserve"> Begrenzt — H World Group Level</w:t>
      </w:r>
    </w:p>
    <w:p>
      <w:pPr>
        <w:spacing w:after="80"/>
      </w:pPr>
      <w:r>
        <w:rPr>
          <w:rFonts w:ascii="Georgia" w:hAnsi="Georgia"/>
          <w:sz w:val="21"/>
        </w:rPr>
      </w:r>
      <w:r>
        <w:rPr>
          <w:rFonts w:ascii="Georgia" w:hAnsi="Georgia"/>
          <w:b/>
          <w:sz w:val="21"/>
        </w:rPr>
        <w:t>Verfügbarkeit:</w:t>
      </w:r>
      <w:r>
        <w:rPr>
          <w:rFonts w:ascii="Georgia" w:hAnsi="Georgia"/>
          <w:sz w:val="21"/>
        </w:rPr>
        <w:t xml:space="preserve"> steigenberger.com/nachhaltigkeit</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DACH-Regulierungskenntnis:</w:t>
      </w:r>
      <w:r>
        <w:rPr>
          <w:rFonts w:ascii="Georgia" w:hAnsi="Georgia"/>
          <w:sz w:val="21"/>
        </w:rPr>
        <w:t xml:space="preserve"> Im Gegensatz zu globalen Ketten, die generische internationale Standards anwenden, zeigt Steigenberger tiefe Kenntnis des DACH-spezifischen Regulierungsrahmens — GEG, AWG, BEHG, österreichische und Schweizer Parallelnormen. Für das regionale DACH-KMU ist diese Regulierungskenntnis der relevanteste Benchmark.</w:t>
      </w:r>
    </w:p>
    <w:p>
      <w:pPr>
        <w:spacing w:after="40"/>
      </w:pPr>
    </w:p>
    <w:p>
      <w:pPr>
        <w:spacing w:after="80"/>
      </w:pPr>
      <w:r>
        <w:rPr>
          <w:rFonts w:ascii="Georgia" w:hAnsi="Georgia"/>
          <w:sz w:val="21"/>
        </w:rPr>
      </w:r>
      <w:r>
        <w:rPr>
          <w:rFonts w:ascii="Georgia" w:hAnsi="Georgia"/>
          <w:b/>
          <w:sz w:val="21"/>
        </w:rPr>
        <w:t>Regionale Lieferkette:</w:t>
      </w:r>
      <w:r>
        <w:rPr>
          <w:rFonts w:ascii="Georgia" w:hAnsi="Georgia"/>
          <w:sz w:val="21"/>
        </w:rPr>
        <w:t xml:space="preserve"> Steigenbergers Lieferkettenprogramm fokussiert stärker als globale Ketten auf regionale und lokale Produzenten — was dem DACH-Marktprofil entspricht und die Scope-3-Kategorie-1-Transparenz im regionalen Kontext erhöht.</w:t>
      </w:r>
    </w:p>
    <w:p>
      <w:pPr>
        <w:spacing w:after="40"/>
      </w:pPr>
    </w:p>
    <w:p>
      <w:pPr>
        <w:spacing w:after="80"/>
      </w:pPr>
      <w:r>
        <w:rPr>
          <w:rFonts w:ascii="Georgia" w:hAnsi="Georgia"/>
          <w:sz w:val="21"/>
        </w:rPr>
      </w:r>
      <w:r>
        <w:rPr>
          <w:rFonts w:ascii="Georgia" w:hAnsi="Georgia"/>
          <w:b/>
          <w:sz w:val="21"/>
        </w:rPr>
        <w:t>DEHOGA-Integration:</w:t>
      </w:r>
      <w:r>
        <w:rPr>
          <w:rFonts w:ascii="Georgia" w:hAnsi="Georgia"/>
          <w:sz w:val="21"/>
        </w:rPr>
        <w:t xml:space="preserve"> Steigenberger ist aktiv in die DEHOGA-Nachhaltigkeitsinitiativen integriert und verwendet DEHOGA-kompatible Berichterstattungsstandards — was die Vergleichbarkeit mit dem deutschen Gastgewerbe erleichtert.</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Konsolidierungskomplexität:</w:t>
      </w:r>
      <w:r>
        <w:rPr>
          <w:rFonts w:ascii="Georgia" w:hAnsi="Georgia"/>
          <w:sz w:val="21"/>
        </w:rPr>
        <w:t xml:space="preserve"> Seit der Übernahme durch H World Group (China) ist die ESG-Berichterstattung in zwei Schichten aufgeteilt — die globale H World Group-Berichterstattung und die DACH-spezifische Kommunikation. Die Kohärenz zwischen den beiden Ebenen ist nicht immer transparent.</w:t>
      </w:r>
    </w:p>
    <w:p>
      <w:pPr>
        <w:spacing w:after="40"/>
      </w:pPr>
    </w:p>
    <w:p>
      <w:pPr>
        <w:spacing w:after="80"/>
      </w:pPr>
      <w:r>
        <w:rPr>
          <w:rFonts w:ascii="Georgia" w:hAnsi="Georgia"/>
          <w:sz w:val="21"/>
        </w:rPr>
      </w:r>
      <w:r>
        <w:rPr>
          <w:rFonts w:ascii="Georgia" w:hAnsi="Georgia"/>
          <w:b/>
          <w:sz w:val="21"/>
        </w:rPr>
        <w:t>Scope-3-Vollständigkeit:</w:t>
      </w:r>
      <w:r>
        <w:rPr>
          <w:rFonts w:ascii="Georgia" w:hAnsi="Georgia"/>
          <w:sz w:val="21"/>
        </w:rPr>
        <w:t xml:space="preserve"> Im Vergleich zu Hilton oder Accor ist die Scope-3-Berichterstattung von Steigenberger weniger vollständig — insbesondere fehlt eine systematische Darstellung der Kategorie 11 (Gästemobilität).</w:t>
      </w:r>
    </w:p>
    <w:p>
      <w:pPr>
        <w:spacing w:after="40"/>
      </w:pPr>
    </w:p>
    <w:p>
      <w:pPr>
        <w:spacing w:after="80"/>
      </w:pPr>
      <w:r>
        <w:rPr>
          <w:rFonts w:ascii="Georgia" w:hAnsi="Georgia"/>
          <w:sz w:val="21"/>
        </w:rPr>
      </w:r>
      <w:r>
        <w:rPr>
          <w:rFonts w:ascii="Georgia" w:hAnsi="Georgia"/>
          <w:b/>
          <w:sz w:val="21"/>
        </w:rPr>
        <w:t>SBTi-Status:</w:t>
      </w:r>
      <w:r>
        <w:rPr>
          <w:rFonts w:ascii="Georgia" w:hAnsi="Georgia"/>
          <w:sz w:val="21"/>
        </w:rPr>
        <w:t xml:space="preserve"> Steigenberger hat zum Zeitpunkt der Berichterstellung keine validierten SBTi-Ziele veröffentlicht — ein Rückstand gegenüber den internationalen Wettbewerbern, der für CSRD-pflichtige Corporate-Kunden relevant ist.</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Der Steigenberger-Ansatz der DEHOGA-Integration und der regionalen Lieferkettenfokussierung ist das direkteste Modell für DACH-KMUs — weil er zeigt, dass gute ESG-Praxis nicht zwingend globale Reporting-Architektur erfordert, sondern regionale Kohärenz.</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Analyse 6 — Falkensteiner Hotels &amp; Residences</w:t>
      </w:r>
    </w:p>
    <w:p>
      <w:pPr>
        <w:spacing w:after="40"/>
      </w:pPr>
    </w:p>
    <w:p>
      <w:pPr>
        <w:spacing w:after="80"/>
      </w:pPr>
      <w:r>
        <w:rPr>
          <w:rFonts w:ascii="Georgia" w:hAnsi="Georgia"/>
          <w:sz w:val="21"/>
        </w:rPr>
      </w:r>
      <w:r>
        <w:rPr>
          <w:rFonts w:ascii="Georgia" w:hAnsi="Georgia"/>
          <w:b/>
          <w:sz w:val="21"/>
        </w:rPr>
        <w:t>Relevanz für DACH:</w:t>
      </w:r>
      <w:r>
        <w:rPr>
          <w:rFonts w:ascii="Georgia" w:hAnsi="Georgia"/>
          <w:sz w:val="21"/>
        </w:rPr>
        <w:t xml:space="preserve"> Österreichische Familienhotellerie-Gruppe — das direkteste Benchmarkbeispiel für mittelgroße DACH-Hotelunternehmen.</w:t>
      </w:r>
    </w:p>
    <w:p>
      <w:pPr>
        <w:spacing w:after="80"/>
      </w:pPr>
      <w:r>
        <w:rPr>
          <w:rFonts w:ascii="Georgia" w:hAnsi="Georgia"/>
          <w:sz w:val="21"/>
        </w:rPr>
      </w:r>
      <w:r>
        <w:rPr>
          <w:rFonts w:ascii="Georgia" w:hAnsi="Georgia"/>
          <w:b/>
          <w:sz w:val="21"/>
        </w:rPr>
        <w:t>Berichtsformat:</w:t>
      </w:r>
      <w:r>
        <w:rPr>
          <w:rFonts w:ascii="Georgia" w:hAnsi="Georgia"/>
          <w:sz w:val="21"/>
        </w:rPr>
        <w:t xml:space="preserve"> Nachhaltigkeitskommunikation auf Website, kein formeller Jahresbericht</w:t>
      </w:r>
    </w:p>
    <w:p>
      <w:pPr>
        <w:spacing w:after="80"/>
      </w:pPr>
      <w:r>
        <w:rPr>
          <w:rFonts w:ascii="Georgia" w:hAnsi="Georgia"/>
          <w:sz w:val="21"/>
        </w:rPr>
      </w:r>
      <w:r>
        <w:rPr>
          <w:rFonts w:ascii="Georgia" w:hAnsi="Georgia"/>
          <w:b/>
          <w:sz w:val="21"/>
        </w:rPr>
        <w:t>Externe Verifikation:</w:t>
      </w:r>
      <w:r>
        <w:rPr>
          <w:rFonts w:ascii="Georgia" w:hAnsi="Georgia"/>
          <w:sz w:val="21"/>
        </w:rPr>
        <w:t xml:space="preserve"> Keine vollständige externe Verifikation</w:t>
      </w:r>
    </w:p>
    <w:p>
      <w:pPr>
        <w:spacing w:after="80"/>
      </w:pPr>
      <w:r>
        <w:rPr>
          <w:rFonts w:ascii="Georgia" w:hAnsi="Georgia"/>
          <w:sz w:val="21"/>
        </w:rPr>
      </w:r>
      <w:r>
        <w:rPr>
          <w:rFonts w:ascii="Georgia" w:hAnsi="Georgia"/>
          <w:b/>
          <w:sz w:val="21"/>
        </w:rPr>
        <w:t>Verfügbarkeit:</w:t>
      </w:r>
      <w:r>
        <w:rPr>
          <w:rFonts w:ascii="Georgia" w:hAnsi="Georgia"/>
          <w:sz w:val="21"/>
        </w:rPr>
        <w:t xml:space="preserve"> falkensteiner.com/nachhaltigkeit</w:t>
      </w:r>
    </w:p>
    <w:p>
      <w:pPr>
        <w:spacing w:after="40"/>
      </w:pPr>
    </w:p>
    <w:p>
      <w:pPr>
        <w:spacing w:before="160" w:after="40"/>
      </w:pPr>
      <w:r>
        <w:rPr>
          <w:rFonts w:ascii="Georgia" w:hAnsi="Georgia"/>
          <w:b/>
          <w:color w:val="5D6D7E"/>
          <w:sz w:val="21"/>
        </w:rPr>
        <w:t>Gute Praktiken</w:t>
      </w:r>
    </w:p>
    <w:p>
      <w:pPr>
        <w:spacing w:after="40"/>
      </w:pPr>
    </w:p>
    <w:p>
      <w:pPr>
        <w:spacing w:after="80"/>
      </w:pPr>
      <w:r>
        <w:rPr>
          <w:rFonts w:ascii="Georgia" w:hAnsi="Georgia"/>
          <w:sz w:val="21"/>
        </w:rPr>
      </w:r>
      <w:r>
        <w:rPr>
          <w:rFonts w:ascii="Georgia" w:hAnsi="Georgia"/>
          <w:b/>
          <w:sz w:val="21"/>
        </w:rPr>
        <w:t>Authentizität und Fokus:</w:t>
      </w:r>
      <w:r>
        <w:rPr>
          <w:rFonts w:ascii="Georgia" w:hAnsi="Georgia"/>
          <w:sz w:val="21"/>
        </w:rPr>
        <w:t xml:space="preserve"> Falkensteiner kommuniziert Nachhaltigkeit ohne übermäßige Komplexität — klare Prioritäten (Energieeffizienz, Wasserreduktion, regionale Lieferkette), messbare Ziele, transparente Kommunikation auch über Bereiche, in denen Fortschritt langsamer ist. Ein Modell für die Kommunikation in der mittelgroßen Hotellerie.</w:t>
      </w:r>
    </w:p>
    <w:p>
      <w:pPr>
        <w:spacing w:after="40"/>
      </w:pPr>
    </w:p>
    <w:p>
      <w:pPr>
        <w:spacing w:after="80"/>
      </w:pPr>
      <w:r>
        <w:rPr>
          <w:rFonts w:ascii="Georgia" w:hAnsi="Georgia"/>
          <w:sz w:val="21"/>
        </w:rPr>
      </w:r>
      <w:r>
        <w:rPr>
          <w:rFonts w:ascii="Georgia" w:hAnsi="Georgia"/>
          <w:b/>
          <w:sz w:val="21"/>
        </w:rPr>
        <w:t>Alpine Resilienzplanung:</w:t>
      </w:r>
      <w:r>
        <w:rPr>
          <w:rFonts w:ascii="Georgia" w:hAnsi="Georgia"/>
          <w:sz w:val="21"/>
        </w:rPr>
        <w:t xml:space="preserve"> Falkensteiner, mit mehreren Bergresorts in den österreichischen Alpen, hat eine der transparentesten Darstellungen der Schneemangel-Risikoexposition und der strategischen Anpassung auf die Sommersaisonentwicklung. Das ist direkt relevant für alle DACH-Berghotels.</w:t>
      </w:r>
    </w:p>
    <w:p>
      <w:pPr>
        <w:spacing w:after="40"/>
      </w:pPr>
    </w:p>
    <w:p>
      <w:pPr>
        <w:spacing w:after="80"/>
      </w:pPr>
      <w:r>
        <w:rPr>
          <w:rFonts w:ascii="Georgia" w:hAnsi="Georgia"/>
          <w:sz w:val="21"/>
        </w:rPr>
      </w:r>
      <w:r>
        <w:rPr>
          <w:rFonts w:ascii="Georgia" w:hAnsi="Georgia"/>
          <w:b/>
          <w:sz w:val="21"/>
        </w:rPr>
        <w:t>Österreichisches Umweltzeichen:</w:t>
      </w:r>
      <w:r>
        <w:rPr>
          <w:rFonts w:ascii="Georgia" w:hAnsi="Georgia"/>
          <w:sz w:val="21"/>
        </w:rPr>
        <w:t xml:space="preserve"> Mehrere Falkensteiner-Häuser tragen das Österreichische Umweltzeichen — eine anerkannte nationale Zertifizierung, die für Betriebe komplementär zur ISO 14001 eingesetzt werden kann.</w:t>
      </w:r>
    </w:p>
    <w:p>
      <w:pPr>
        <w:spacing w:after="40"/>
      </w:pPr>
    </w:p>
    <w:p>
      <w:pPr>
        <w:spacing w:after="80"/>
      </w:pPr>
      <w:r>
        <w:rPr>
          <w:rFonts w:ascii="Georgia" w:hAnsi="Georgia"/>
          <w:sz w:val="21"/>
        </w:rPr>
      </w:r>
      <w:r>
        <w:rPr>
          <w:rFonts w:ascii="Georgia" w:hAnsi="Georgia"/>
          <w:b/>
          <w:sz w:val="21"/>
        </w:rPr>
        <w:t>Personalkommunikation:</w:t>
      </w:r>
      <w:r>
        <w:rPr>
          <w:rFonts w:ascii="Georgia" w:hAnsi="Georgia"/>
          <w:sz w:val="21"/>
        </w:rPr>
        <w:t xml:space="preserve"> Falkensteiner hat sichtbare interne Nachhaltigkeitskommunikation — Mitarbeiter-Newsletter, Schulungsprogramme, interne Wettbewerbe. Ein Beispiel für die ISO-14001:2026-Kulturaufbau-Dimension.</w:t>
      </w:r>
    </w:p>
    <w:p>
      <w:pPr>
        <w:spacing w:after="40"/>
      </w:pPr>
    </w:p>
    <w:p>
      <w:pPr>
        <w:spacing w:before="160" w:after="40"/>
      </w:pPr>
      <w:r>
        <w:rPr>
          <w:rFonts w:ascii="Georgia" w:hAnsi="Georgia"/>
          <w:b/>
          <w:color w:val="5D6D7E"/>
          <w:sz w:val="21"/>
        </w:rPr>
        <w:t>Kritikpunkte</w:t>
      </w:r>
    </w:p>
    <w:p>
      <w:pPr>
        <w:spacing w:after="40"/>
      </w:pPr>
    </w:p>
    <w:p>
      <w:pPr>
        <w:spacing w:after="80"/>
      </w:pPr>
      <w:r>
        <w:rPr>
          <w:rFonts w:ascii="Georgia" w:hAnsi="Georgia"/>
          <w:sz w:val="21"/>
        </w:rPr>
      </w:r>
      <w:r>
        <w:rPr>
          <w:rFonts w:ascii="Georgia" w:hAnsi="Georgia"/>
          <w:b/>
          <w:sz w:val="21"/>
        </w:rPr>
        <w:t>Keine externe Verifikation:</w:t>
      </w:r>
      <w:r>
        <w:rPr>
          <w:rFonts w:ascii="Georgia" w:hAnsi="Georgia"/>
          <w:sz w:val="21"/>
        </w:rPr>
        <w:t xml:space="preserve"> Die Nachhaltigkeitskommunikation von Falkensteiner ist nicht durch externe Drittpartei verifiziert — was für Corporate-Kunden und ESG-Investoren zunehmend als Mindestanforderung gilt.</w:t>
      </w:r>
    </w:p>
    <w:p>
      <w:pPr>
        <w:spacing w:after="40"/>
      </w:pPr>
    </w:p>
    <w:p>
      <w:pPr>
        <w:spacing w:after="80"/>
      </w:pPr>
      <w:r>
        <w:rPr>
          <w:rFonts w:ascii="Georgia" w:hAnsi="Georgia"/>
          <w:sz w:val="21"/>
        </w:rPr>
      </w:r>
      <w:r>
        <w:rPr>
          <w:rFonts w:ascii="Georgia" w:hAnsi="Georgia"/>
          <w:b/>
          <w:sz w:val="21"/>
        </w:rPr>
        <w:t>Scope-3-Absenz:</w:t>
      </w:r>
      <w:r>
        <w:rPr>
          <w:rFonts w:ascii="Georgia" w:hAnsi="Georgia"/>
          <w:sz w:val="21"/>
        </w:rPr>
        <w:t xml:space="preserve"> Keine strukturierte Scope-3-Berichterstattung — was für MICE-Corporate-Kunden ein wachsendes Problem darstellt, da sie für ihren eigenen CSRD-Bericht die Emissionen aus Gäste-Konferenzen in Falkensteiner-Hotels benötigen.</w:t>
      </w:r>
    </w:p>
    <w:p>
      <w:pPr>
        <w:spacing w:after="40"/>
      </w:pPr>
    </w:p>
    <w:p>
      <w:pPr>
        <w:spacing w:after="80"/>
      </w:pPr>
      <w:r>
        <w:rPr>
          <w:rFonts w:ascii="Georgia" w:hAnsi="Georgia"/>
          <w:sz w:val="21"/>
        </w:rPr>
      </w:r>
      <w:r>
        <w:rPr>
          <w:rFonts w:ascii="Georgia" w:hAnsi="Georgia"/>
          <w:b/>
          <w:sz w:val="21"/>
        </w:rPr>
        <w:t>GRI-Kohärenz:</w:t>
      </w:r>
      <w:r>
        <w:rPr>
          <w:rFonts w:ascii="Georgia" w:hAnsi="Georgia"/>
          <w:sz w:val="21"/>
        </w:rPr>
        <w:t xml:space="preserve"> Die Falkensteiner-Kommunikation folgt keinem standardisierten Reporting-Framework (GRI, ESRS, SASB) — was die Vergleichbarkeit mit anderen Hotels erschwert und bei strukturierten RFP-Prozessen von Corporate-Kunden Nachteile bringen kann.</w:t>
      </w:r>
    </w:p>
    <w:p>
      <w:pPr>
        <w:spacing w:after="40"/>
      </w:pPr>
    </w:p>
    <w:p>
      <w:pPr>
        <w:spacing w:before="160" w:after="40"/>
      </w:pPr>
      <w:r>
        <w:rPr>
          <w:rFonts w:ascii="Georgia" w:hAnsi="Georgia"/>
          <w:b/>
          <w:color w:val="2C3E50"/>
          <w:sz w:val="22"/>
        </w:rPr>
        <w:t>Bewertung:</w:t>
      </w:r>
    </w:p>
    <w:p>
      <w:pPr>
        <w:pStyle w:val="ListBullet"/>
        <w:spacing w:after="40"/>
      </w:pPr>
      <w:r>
        <w:rPr>
          <w:rFonts w:ascii="Georgia" w:hAnsi="Georgia"/>
          <w:sz w:val="20"/>
        </w:rPr>
        <w:t>Vollständigkeit: ⭐⭐⭐</w:t>
      </w:r>
    </w:p>
    <w:p>
      <w:pPr>
        <w:pStyle w:val="ListBullet"/>
        <w:spacing w:after="40"/>
      </w:pPr>
      <w:r>
        <w:rPr>
          <w:rFonts w:ascii="Georgia" w:hAnsi="Georgia"/>
          <w:sz w:val="20"/>
        </w:rPr>
        <w:t>Spezifizität: ⭐⭐⭐</w:t>
      </w:r>
    </w:p>
    <w:p>
      <w:pPr>
        <w:pStyle w:val="ListBullet"/>
        <w:spacing w:after="40"/>
      </w:pPr>
      <w:r>
        <w:rPr>
          <w:rFonts w:ascii="Georgia" w:hAnsi="Georgia"/>
          <w:sz w:val="20"/>
        </w:rPr>
        <w:t>Methodische Kohärenz: ⭐⭐</w:t>
      </w:r>
    </w:p>
    <w:p>
      <w:pPr>
        <w:pStyle w:val="ListBullet"/>
        <w:spacing w:after="40"/>
      </w:pPr>
      <w:r>
        <w:rPr>
          <w:rFonts w:ascii="Georgia" w:hAnsi="Georgia"/>
          <w:sz w:val="20"/>
        </w:rPr>
        <w:t>Verifizierbarkeit: ⭐</w:t>
      </w:r>
    </w:p>
    <w:p>
      <w:pPr>
        <w:pStyle w:val="ListBullet"/>
        <w:spacing w:after="40"/>
      </w:pPr>
      <w:r>
        <w:rPr>
          <w:rFonts w:ascii="Georgia" w:hAnsi="Georgia"/>
          <w:sz w:val="20"/>
        </w:rPr>
        <w:t>Operative Substanz: ⭐⭐⭐⭐</w:t>
      </w:r>
    </w:p>
    <w:p>
      <w:pPr>
        <w:spacing w:after="40"/>
      </w:pPr>
    </w:p>
    <w:p>
      <w:pPr>
        <w:spacing w:after="80"/>
      </w:pPr>
      <w:r>
        <w:rPr>
          <w:rFonts w:ascii="Georgia" w:hAnsi="Georgia"/>
          <w:sz w:val="21"/>
        </w:rPr>
      </w:r>
      <w:r>
        <w:rPr>
          <w:rFonts w:ascii="Georgia" w:hAnsi="Georgia"/>
          <w:b/>
          <w:sz w:val="21"/>
        </w:rPr>
        <w:t>Lektion für DACH-Hotels:</w:t>
      </w:r>
      <w:r>
        <w:rPr>
          <w:rFonts w:ascii="Georgia" w:hAnsi="Georgia"/>
          <w:sz w:val="21"/>
        </w:rPr>
        <w:t xml:space="preserve"> Falkensteiner zeigt, dass operative Substanz und authentische Kommunikation auch ohne vollständigen GRI-Bericht möglich sind. Aber die fehlende Scope-3-Transparenz und externe Verifikation werden zunehmend zum Wettbewerbsnachteil. Der nächste Schritt für Falkensteiner — und für ähnliche DACH-Familienbetriebe — ist die Strukturierung der Disclosure nach einem anerkannten Framework.</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Abschnitt 2 — Sektorweite Kritikpunkte und Systemische Muster</w:t>
      </w:r>
    </w:p>
    <w:p>
      <w:pPr>
        <w:spacing w:after="40"/>
      </w:pPr>
    </w:p>
    <w:p>
      <w:pPr>
        <w:spacing w:before="160" w:after="40"/>
      </w:pPr>
      <w:r>
        <w:rPr>
          <w:rFonts w:ascii="Georgia" w:hAnsi="Georgia"/>
          <w:b/>
          <w:color w:val="5D6D7E"/>
          <w:sz w:val="21"/>
        </w:rPr>
        <w:t>2.1 — Das Franchise-Problem</w:t>
      </w:r>
    </w:p>
    <w:p>
      <w:pPr>
        <w:spacing w:after="40"/>
      </w:pPr>
    </w:p>
    <w:p>
      <w:pPr>
        <w:spacing w:after="80"/>
      </w:pPr>
      <w:r>
        <w:rPr>
          <w:rFonts w:ascii="Georgia" w:hAnsi="Georgia"/>
          <w:sz w:val="21"/>
        </w:rPr>
        <w:t>Die strukturelle Schwäche fast aller großen Hotelketten-ESG-Berichte ist das Franchise-Problem. Marriott, Hilton, IHG und Accor betreiben zusammen mehr als 30.000 Hotels — von denen der Großteil Franchise- oder Management-Agreements sind. Die ESG-Daten dieser Hotels werden in den Konzernberichten konsolidiert, obwohl die Kette keine direkte operative Kontrolle hat.</w:t>
      </w:r>
    </w:p>
    <w:p>
      <w:pPr>
        <w:spacing w:after="40"/>
      </w:pPr>
    </w:p>
    <w:p>
      <w:pPr>
        <w:spacing w:after="80"/>
      </w:pPr>
      <w:r>
        <w:rPr>
          <w:rFonts w:ascii="Georgia" w:hAnsi="Georgia"/>
          <w:sz w:val="21"/>
        </w:rPr>
      </w:r>
      <w:r>
        <w:rPr>
          <w:rFonts w:ascii="Georgia" w:hAnsi="Georgia"/>
          <w:b/>
          <w:sz w:val="21"/>
        </w:rPr>
        <w:t>Implikation für DACH-Hotels:</w:t>
      </w:r>
      <w:r>
        <w:rPr>
          <w:rFonts w:ascii="Georgia" w:hAnsi="Georgia"/>
          <w:sz w:val="21"/>
        </w:rPr>
        <w:t xml:space="preserve"> Wenn ein DACH-Hotel unter einem Franchise-Brand operiert, erscheinen seine Daten (gut oder schlecht) im ESG-Bericht der Muttergesellschaft. Das Hotel hat wenig Einfluss auf die Qualität, mit der seine Daten dargestellt werden — aber der Corporate-Kunde sieht den Konzernbericht.</w:t>
      </w:r>
    </w:p>
    <w:p>
      <w:pPr>
        <w:spacing w:after="40"/>
      </w:pPr>
    </w:p>
    <w:p>
      <w:pPr>
        <w:spacing w:before="160" w:after="40"/>
      </w:pPr>
      <w:r>
        <w:rPr>
          <w:rFonts w:ascii="Georgia" w:hAnsi="Georgia"/>
          <w:b/>
          <w:color w:val="5D6D7E"/>
          <w:sz w:val="21"/>
        </w:rPr>
        <w:t>2.2 — Offset-Inflation</w:t>
      </w:r>
    </w:p>
    <w:p>
      <w:pPr>
        <w:spacing w:after="40"/>
      </w:pPr>
    </w:p>
    <w:p>
      <w:pPr>
        <w:spacing w:after="80"/>
      </w:pPr>
      <w:r>
        <w:rPr>
          <w:rFonts w:ascii="Georgia" w:hAnsi="Georgia"/>
          <w:sz w:val="21"/>
        </w:rPr>
        <w:t>Ein systematisches Muster in den ESG-Berichten großer Hotelketten ist die Inflation von CO₂-Offsets in Netto-Null-Ansprüchen. Mehrere Ketten kommunizieren "Klimaneutralität" oder Netto-Null-Ziele, die erheblich auf dem Kauf von Kompensationszertifikaten (typisch: Aufforstungsprojekte, Kochofenprojekte) basieren — statt auf echten Emissionsreduktionen.</w:t>
      </w:r>
    </w:p>
    <w:p>
      <w:pPr>
        <w:spacing w:after="40"/>
      </w:pPr>
    </w:p>
    <w:p>
      <w:pPr>
        <w:spacing w:after="80"/>
      </w:pPr>
      <w:r>
        <w:rPr>
          <w:rFonts w:ascii="Georgia" w:hAnsi="Georgia"/>
          <w:sz w:val="21"/>
        </w:rPr>
        <w:t>Die Anti-Greenwashing-Richtlinie 2024/825/EU und die Überarbeitung der ESRS E1-Anforderungen für Netto-Null-Kommunikation haben diese Praxis zunehmend unter rechtlichen Druck gesetzt.</w:t>
      </w:r>
    </w:p>
    <w:p>
      <w:pPr>
        <w:spacing w:after="40"/>
      </w:pPr>
    </w:p>
    <w:p>
      <w:pPr>
        <w:spacing w:after="80"/>
      </w:pPr>
      <w:r>
        <w:rPr>
          <w:rFonts w:ascii="Georgia" w:hAnsi="Georgia"/>
          <w:sz w:val="21"/>
        </w:rPr>
      </w:r>
      <w:r>
        <w:rPr>
          <w:rFonts w:ascii="Georgia" w:hAnsi="Georgia"/>
          <w:b/>
          <w:sz w:val="21"/>
        </w:rPr>
        <w:t>Implikation für DACH-Hotels:</w:t>
      </w:r>
      <w:r>
        <w:rPr>
          <w:rFonts w:ascii="Georgia" w:hAnsi="Georgia"/>
          <w:sz w:val="21"/>
        </w:rPr>
        <w:t xml:space="preserve"> Kommunizieren Sie keine Klimaneutralität oder Netto-Null-Status, wenn dieser auf Offsets basiert, ohne die Methodik transparent zu machen. Das Risiko einer Wettbewerbszentrale-Abmahnung (DE) oder Vzbv-Klage ist real.</w:t>
      </w:r>
    </w:p>
    <w:p>
      <w:pPr>
        <w:spacing w:after="40"/>
      </w:pPr>
    </w:p>
    <w:p>
      <w:pPr>
        <w:spacing w:before="160" w:after="40"/>
      </w:pPr>
      <w:r>
        <w:rPr>
          <w:rFonts w:ascii="Georgia" w:hAnsi="Georgia"/>
          <w:b/>
          <w:color w:val="5D6D7E"/>
          <w:sz w:val="21"/>
        </w:rPr>
        <w:t>2.3 — Daten-Cherry-Picking</w:t>
      </w:r>
    </w:p>
    <w:p>
      <w:pPr>
        <w:spacing w:after="40"/>
      </w:pPr>
    </w:p>
    <w:p>
      <w:pPr>
        <w:spacing w:after="80"/>
      </w:pPr>
      <w:r>
        <w:rPr>
          <w:rFonts w:ascii="Georgia" w:hAnsi="Georgia"/>
          <w:sz w:val="21"/>
        </w:rPr>
        <w:t>Ein weiteres häufiges Muster: Ketten berichten selektiv über Perioden oder Indikatoren, in denen die Werte positiv sind — und ändern die Baseline oder Methodik in Jahren, in denen die Werte negativ sind. Dieses Muster ist für externe Beobachter oft erkennbar durch abrupte Methodik-Wechsel in den Fußnoten.</w:t>
      </w:r>
    </w:p>
    <w:p>
      <w:pPr>
        <w:spacing w:after="40"/>
      </w:pPr>
    </w:p>
    <w:p>
      <w:pPr>
        <w:spacing w:after="80"/>
      </w:pPr>
      <w:r>
        <w:rPr>
          <w:rFonts w:ascii="Georgia" w:hAnsi="Georgia"/>
          <w:sz w:val="21"/>
        </w:rPr>
      </w:r>
      <w:r>
        <w:rPr>
          <w:rFonts w:ascii="Georgia" w:hAnsi="Georgia"/>
          <w:b/>
          <w:sz w:val="21"/>
        </w:rPr>
        <w:t>Implikation für DACH-Hotels:</w:t>
      </w:r>
      <w:r>
        <w:rPr>
          <w:rFonts w:ascii="Georgia" w:hAnsi="Georgia"/>
          <w:sz w:val="21"/>
        </w:rPr>
        <w:t xml:space="preserve"> Konsistenz der Methodik und Transparenz über Methodenwechsel sind keine bürokratische Anforderung — sie sind die Grundlage der Glaubwürdigkeit. Das ISO-14001:2026-System, das eine stabile Monitoring-Methodik fordert, schützt das Hotel strukturell vor diesem Fehler.</w:t>
      </w:r>
    </w:p>
    <w:p>
      <w:pPr>
        <w:spacing w:after="40"/>
      </w:pPr>
    </w:p>
    <w:p>
      <w:pPr>
        <w:spacing w:before="160" w:after="40"/>
      </w:pPr>
      <w:r>
        <w:rPr>
          <w:rFonts w:ascii="Georgia" w:hAnsi="Georgia"/>
          <w:b/>
          <w:color w:val="5D6D7E"/>
          <w:sz w:val="21"/>
        </w:rPr>
        <w:t>2.4 — Lücke zwischen Erklärung und operativer Realität</w:t>
      </w:r>
    </w:p>
    <w:p>
      <w:pPr>
        <w:spacing w:after="40"/>
      </w:pPr>
    </w:p>
    <w:p>
      <w:pPr>
        <w:spacing w:after="80"/>
      </w:pPr>
      <w:r>
        <w:rPr>
          <w:rFonts w:ascii="Georgia" w:hAnsi="Georgia"/>
          <w:sz w:val="21"/>
        </w:rPr>
        <w:t>Das fundamentalste Glaubwürdigkeitsproblem in der ESG-Disclosure des Gastgewerbes ist die Lücke zwischen kommunizierten Zielen und operativer Realität. Mehrere Studien haben gezeigt, dass die ESG-Scores großer Hotelketten nicht mit den tatsächlichen operativen Umweltleistungen korrelieren — weil die Scores die Qualität der Berichterstattung messen, nicht die operative Realität.</w:t>
      </w:r>
    </w:p>
    <w:p>
      <w:pPr>
        <w:spacing w:after="40"/>
      </w:pPr>
    </w:p>
    <w:p>
      <w:pPr>
        <w:spacing w:after="80"/>
      </w:pPr>
      <w:r>
        <w:rPr>
          <w:rFonts w:ascii="Georgia" w:hAnsi="Georgia"/>
          <w:sz w:val="21"/>
        </w:rPr>
      </w:r>
      <w:r>
        <w:rPr>
          <w:rFonts w:ascii="Georgia" w:hAnsi="Georgia"/>
          <w:b/>
          <w:sz w:val="21"/>
        </w:rPr>
        <w:t>Implikation für DACH-Hotels:</w:t>
      </w:r>
      <w:r>
        <w:rPr>
          <w:rFonts w:ascii="Georgia" w:hAnsi="Georgia"/>
          <w:sz w:val="21"/>
        </w:rPr>
        <w:t xml:space="preserve"> Das ISO-14001:2026-System ist das Instrument, das diese Lücke schließt — weil es die operative Realität direkt verknüpft mit der Disclosure. Ein zertifiziertes System, das durch externe Auditoren verифiziert wird, produziert Disclosure, die der ersten eingehenden Prüfung standhält.</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Abschnitt 3 — Praktische Schlussfolgerungen für DACH-Hotels</w:t>
      </w:r>
    </w:p>
    <w:p>
      <w:pPr>
        <w:spacing w:after="40"/>
      </w:pPr>
    </w:p>
    <w:p>
      <w:pPr>
        <w:spacing w:before="160" w:after="40"/>
      </w:pPr>
      <w:r>
        <w:rPr>
          <w:rFonts w:ascii="Georgia" w:hAnsi="Georgia"/>
          <w:b/>
          <w:color w:val="5D6D7E"/>
          <w:sz w:val="21"/>
        </w:rPr>
        <w:t>3.1 — Was unmittelbar übertragbar ist</w:t>
      </w:r>
    </w:p>
    <w:p>
      <w:pPr>
        <w:spacing w:after="40"/>
      </w:pP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2C3E50"/>
          </w:tcPr>
          <w:p>
            <w:r/>
            <w:r>
              <w:rPr>
                <w:rFonts w:ascii="Georgia" w:hAnsi="Georgia"/>
                <w:b/>
                <w:color w:val="FFFFFF"/>
                <w:sz w:val="18"/>
              </w:rPr>
              <w:t>Good Practice</w:t>
            </w:r>
          </w:p>
        </w:tc>
        <w:tc>
          <w:tcPr>
            <w:tcW w:type="dxa" w:w="3135"/>
            <w:shd w:val="clear" w:color="auto" w:fill="2C3E50"/>
          </w:tcPr>
          <w:p>
            <w:r/>
            <w:r>
              <w:rPr>
                <w:rFonts w:ascii="Georgia" w:hAnsi="Georgia"/>
                <w:b/>
                <w:color w:val="FFFFFF"/>
                <w:sz w:val="18"/>
              </w:rPr>
              <w:t>Kette</w:t>
            </w:r>
          </w:p>
        </w:tc>
        <w:tc>
          <w:tcPr>
            <w:tcW w:type="dxa" w:w="3135"/>
            <w:shd w:val="clear" w:color="auto" w:fill="2C3E50"/>
          </w:tcPr>
          <w:p>
            <w:r/>
            <w:r>
              <w:rPr>
                <w:rFonts w:ascii="Georgia" w:hAnsi="Georgia"/>
                <w:b/>
                <w:color w:val="FFFFFF"/>
                <w:sz w:val="18"/>
              </w:rPr>
              <w:t>Übertragbarkeit für DACH-KMU</w:t>
            </w:r>
          </w:p>
        </w:tc>
      </w:tr>
      <w:tr>
        <w:tc>
          <w:tcPr>
            <w:tcW w:type="dxa" w:w="3135"/>
          </w:tcPr>
          <w:p>
            <w:r>
              <w:rPr>
                <w:rFonts w:ascii="Georgia" w:hAnsi="Georgia"/>
                <w:sz w:val="18"/>
              </w:rPr>
              <w:t>Sub-Metering nach Abteilung</w:t>
            </w:r>
          </w:p>
        </w:tc>
        <w:tc>
          <w:tcPr>
            <w:tcW w:type="dxa" w:w="3135"/>
          </w:tcPr>
          <w:p>
            <w:r>
              <w:rPr>
                <w:rFonts w:ascii="Georgia" w:hAnsi="Georgia"/>
                <w:sz w:val="18"/>
              </w:rPr>
              <w:t>Hilton (LightStay)</w:t>
            </w:r>
          </w:p>
        </w:tc>
        <w:tc>
          <w:tcPr>
            <w:tcW w:type="dxa" w:w="3135"/>
          </w:tcPr>
          <w:p>
            <w:r>
              <w:rPr>
                <w:rFonts w:ascii="Georgia" w:hAnsi="Georgia"/>
                <w:sz w:val="18"/>
              </w:rPr>
              <w:t>Hoch — grundlegendes Monitoring-Instrument</w:t>
            </w:r>
          </w:p>
        </w:tc>
      </w:tr>
      <w:tr>
        <w:tc>
          <w:tcPr>
            <w:tcW w:type="dxa" w:w="3135"/>
            <w:shd w:val="clear" w:color="auto" w:fill="F8F9FA"/>
          </w:tcPr>
          <w:p>
            <w:r>
              <w:rPr>
                <w:rFonts w:ascii="Georgia" w:hAnsi="Georgia"/>
                <w:sz w:val="18"/>
              </w:rPr>
              <w:t>WRI Aqueduct für Wasserrisiko</w:t>
            </w:r>
          </w:p>
        </w:tc>
        <w:tc>
          <w:tcPr>
            <w:tcW w:type="dxa" w:w="3135"/>
            <w:shd w:val="clear" w:color="auto" w:fill="F8F9FA"/>
          </w:tcPr>
          <w:p>
            <w:r>
              <w:rPr>
                <w:rFonts w:ascii="Georgia" w:hAnsi="Georgia"/>
                <w:sz w:val="18"/>
              </w:rPr>
              <w:t>IHG</w:t>
            </w:r>
          </w:p>
        </w:tc>
        <w:tc>
          <w:tcPr>
            <w:tcW w:type="dxa" w:w="3135"/>
            <w:shd w:val="clear" w:color="auto" w:fill="F8F9FA"/>
          </w:tcPr>
          <w:p>
            <w:r>
              <w:rPr>
                <w:rFonts w:ascii="Georgia" w:hAnsi="Georgia"/>
                <w:sz w:val="18"/>
              </w:rPr>
              <w:t>Sehr hoch — kostenloses Instrument, direkt anwendbar</w:t>
            </w:r>
          </w:p>
        </w:tc>
      </w:tr>
      <w:tr>
        <w:tc>
          <w:tcPr>
            <w:tcW w:type="dxa" w:w="3135"/>
          </w:tcPr>
          <w:p>
            <w:r>
              <w:rPr>
                <w:rFonts w:ascii="Georgia" w:hAnsi="Georgia"/>
                <w:sz w:val="18"/>
              </w:rPr>
              <w:t>TCFD-Klimarisikobewertung</w:t>
            </w:r>
          </w:p>
        </w:tc>
        <w:tc>
          <w:tcPr>
            <w:tcW w:type="dxa" w:w="3135"/>
          </w:tcPr>
          <w:p>
            <w:r>
              <w:rPr>
                <w:rFonts w:ascii="Georgia" w:hAnsi="Georgia"/>
                <w:sz w:val="18"/>
              </w:rPr>
              <w:t>Marriott</w:t>
            </w:r>
          </w:p>
        </w:tc>
        <w:tc>
          <w:tcPr>
            <w:tcW w:type="dxa" w:w="3135"/>
          </w:tcPr>
          <w:p>
            <w:r>
              <w:rPr>
                <w:rFonts w:ascii="Georgia" w:hAnsi="Georgia"/>
                <w:sz w:val="18"/>
              </w:rPr>
              <w:t>Mittel — Methodik adaptierbar auf Einzelasset</w:t>
            </w:r>
          </w:p>
        </w:tc>
      </w:tr>
      <w:tr>
        <w:tc>
          <w:tcPr>
            <w:tcW w:type="dxa" w:w="3135"/>
            <w:shd w:val="clear" w:color="auto" w:fill="F8F9FA"/>
          </w:tcPr>
          <w:p>
            <w:r>
              <w:rPr>
                <w:rFonts w:ascii="Georgia" w:hAnsi="Georgia"/>
                <w:sz w:val="18"/>
              </w:rPr>
              <w:t>Doppelte Wesentlichkeitsanalyse</w:t>
            </w:r>
          </w:p>
        </w:tc>
        <w:tc>
          <w:tcPr>
            <w:tcW w:type="dxa" w:w="3135"/>
            <w:shd w:val="clear" w:color="auto" w:fill="F8F9FA"/>
          </w:tcPr>
          <w:p>
            <w:r>
              <w:rPr>
                <w:rFonts w:ascii="Georgia" w:hAnsi="Georgia"/>
                <w:sz w:val="18"/>
              </w:rPr>
              <w:t>Accor</w:t>
            </w:r>
          </w:p>
        </w:tc>
        <w:tc>
          <w:tcPr>
            <w:tcW w:type="dxa" w:w="3135"/>
            <w:shd w:val="clear" w:color="auto" w:fill="F8F9FA"/>
          </w:tcPr>
          <w:p>
            <w:r>
              <w:rPr>
                <w:rFonts w:ascii="Georgia" w:hAnsi="Georgia"/>
                <w:sz w:val="18"/>
              </w:rPr>
              <w:t>Mittel — methodisch komplex, aber für CSRD-exponierte Hotels notwendig</w:t>
            </w:r>
          </w:p>
        </w:tc>
      </w:tr>
      <w:tr>
        <w:tc>
          <w:tcPr>
            <w:tcW w:type="dxa" w:w="3135"/>
          </w:tcPr>
          <w:p>
            <w:r>
              <w:rPr>
                <w:rFonts w:ascii="Georgia" w:hAnsi="Georgia"/>
                <w:sz w:val="18"/>
              </w:rPr>
              <w:t>DEHOGA-Framework-Integration</w:t>
            </w:r>
          </w:p>
        </w:tc>
        <w:tc>
          <w:tcPr>
            <w:tcW w:type="dxa" w:w="3135"/>
          </w:tcPr>
          <w:p>
            <w:r>
              <w:rPr>
                <w:rFonts w:ascii="Georgia" w:hAnsi="Georgia"/>
                <w:sz w:val="18"/>
              </w:rPr>
              <w:t>Steigenberger</w:t>
            </w:r>
          </w:p>
        </w:tc>
        <w:tc>
          <w:tcPr>
            <w:tcW w:type="dxa" w:w="3135"/>
          </w:tcPr>
          <w:p>
            <w:r>
              <w:rPr>
                <w:rFonts w:ascii="Georgia" w:hAnsi="Georgia"/>
                <w:sz w:val="18"/>
              </w:rPr>
              <w:t>Sehr hoch — direktes DACH-Äquivalent</w:t>
            </w:r>
          </w:p>
        </w:tc>
      </w:tr>
      <w:tr>
        <w:tc>
          <w:tcPr>
            <w:tcW w:type="dxa" w:w="3135"/>
            <w:shd w:val="clear" w:color="auto" w:fill="F8F9FA"/>
          </w:tcPr>
          <w:p>
            <w:r>
              <w:rPr>
                <w:rFonts w:ascii="Georgia" w:hAnsi="Georgia"/>
                <w:sz w:val="18"/>
              </w:rPr>
              <w:t>Österreichisches Umweltzeichen</w:t>
            </w:r>
          </w:p>
        </w:tc>
        <w:tc>
          <w:tcPr>
            <w:tcW w:type="dxa" w:w="3135"/>
            <w:shd w:val="clear" w:color="auto" w:fill="F8F9FA"/>
          </w:tcPr>
          <w:p>
            <w:r>
              <w:rPr>
                <w:rFonts w:ascii="Georgia" w:hAnsi="Georgia"/>
                <w:sz w:val="18"/>
              </w:rPr>
              <w:t>Falkensteiner</w:t>
            </w:r>
          </w:p>
        </w:tc>
        <w:tc>
          <w:tcPr>
            <w:tcW w:type="dxa" w:w="3135"/>
            <w:shd w:val="clear" w:color="auto" w:fill="F8F9FA"/>
          </w:tcPr>
          <w:p>
            <w:r>
              <w:rPr>
                <w:rFonts w:ascii="Georgia" w:hAnsi="Georgia"/>
                <w:sz w:val="18"/>
              </w:rPr>
              <w:t>Sehr hoch für AT-Hotels — komplementär zu ISO 14001</w:t>
            </w:r>
          </w:p>
        </w:tc>
      </w:tr>
      <w:tr>
        <w:tc>
          <w:tcPr>
            <w:tcW w:type="dxa" w:w="3135"/>
          </w:tcPr>
          <w:p>
            <w:r>
              <w:rPr>
                <w:rFonts w:ascii="Georgia" w:hAnsi="Georgia"/>
                <w:sz w:val="18"/>
              </w:rPr>
              <w:t>Regionale Lieferkettenpriorität</w:t>
            </w:r>
          </w:p>
        </w:tc>
        <w:tc>
          <w:tcPr>
            <w:tcW w:type="dxa" w:w="3135"/>
          </w:tcPr>
          <w:p>
            <w:r>
              <w:rPr>
                <w:rFonts w:ascii="Georgia" w:hAnsi="Georgia"/>
                <w:sz w:val="18"/>
              </w:rPr>
              <w:t>Falkensteiner</w:t>
            </w:r>
          </w:p>
        </w:tc>
        <w:tc>
          <w:tcPr>
            <w:tcW w:type="dxa" w:w="3135"/>
          </w:tcPr>
          <w:p>
            <w:r>
              <w:rPr>
                <w:rFonts w:ascii="Georgia" w:hAnsi="Georgia"/>
                <w:sz w:val="18"/>
              </w:rPr>
              <w:t>Sehr hoch — am direktesten realisierbar</w:t>
            </w:r>
          </w:p>
        </w:tc>
      </w:tr>
    </w:tbl>
    <w:p/>
    <w:p>
      <w:pPr>
        <w:spacing w:after="40"/>
      </w:pPr>
    </w:p>
    <w:p>
      <w:pPr>
        <w:spacing w:before="160" w:after="40"/>
      </w:pPr>
      <w:r>
        <w:rPr>
          <w:rFonts w:ascii="Georgia" w:hAnsi="Georgia"/>
          <w:b/>
          <w:color w:val="5D6D7E"/>
          <w:sz w:val="21"/>
        </w:rPr>
        <w:t>3.2 — Was zu vermeiden ist</w:t>
      </w:r>
    </w:p>
    <w:p>
      <w:pPr>
        <w:spacing w:after="40"/>
      </w:pPr>
    </w:p>
    <w:p>
      <w:pPr>
        <w:pStyle w:val="ListBullet"/>
        <w:spacing w:after="40"/>
      </w:pPr>
      <w:r>
        <w:rPr>
          <w:rFonts w:ascii="Georgia" w:hAnsi="Georgia"/>
          <w:sz w:val="20"/>
        </w:rPr>
      </w:r>
      <w:r>
        <w:rPr>
          <w:rFonts w:ascii="Georgia" w:hAnsi="Georgia"/>
          <w:b/>
          <w:sz w:val="20"/>
        </w:rPr>
        <w:t>Offset-basierte Klimaneutralitätskommunikation</w:t>
      </w:r>
      <w:r>
        <w:rPr>
          <w:rFonts w:ascii="Georgia" w:hAnsi="Georgia"/>
          <w:sz w:val="20"/>
        </w:rPr>
        <w:t xml:space="preserve"> ohne transparente Methodologie</w:t>
      </w:r>
    </w:p>
    <w:p>
      <w:pPr>
        <w:pStyle w:val="ListBullet"/>
        <w:spacing w:after="40"/>
      </w:pPr>
      <w:r>
        <w:rPr>
          <w:rFonts w:ascii="Georgia" w:hAnsi="Georgia"/>
          <w:sz w:val="20"/>
        </w:rPr>
      </w:r>
      <w:r>
        <w:rPr>
          <w:rFonts w:ascii="Georgia" w:hAnsi="Georgia"/>
          <w:b/>
          <w:sz w:val="20"/>
        </w:rPr>
        <w:t>Baseline-Wechsel</w:t>
      </w:r>
      <w:r>
        <w:rPr>
          <w:rFonts w:ascii="Georgia" w:hAnsi="Georgia"/>
          <w:sz w:val="20"/>
        </w:rPr>
        <w:t xml:space="preserve"> ohne explizite Erklärung in der Berichterstattung</w:t>
      </w:r>
    </w:p>
    <w:p>
      <w:pPr>
        <w:pStyle w:val="ListBullet"/>
        <w:spacing w:after="40"/>
      </w:pPr>
      <w:r>
        <w:rPr>
          <w:rFonts w:ascii="Georgia" w:hAnsi="Georgia"/>
          <w:sz w:val="20"/>
        </w:rPr>
      </w:r>
      <w:r>
        <w:rPr>
          <w:rFonts w:ascii="Georgia" w:hAnsi="Georgia"/>
          <w:b/>
          <w:sz w:val="20"/>
        </w:rPr>
        <w:t>Fehlende Scope-3-Darstellung</w:t>
      </w:r>
      <w:r>
        <w:rPr>
          <w:rFonts w:ascii="Georgia" w:hAnsi="Georgia"/>
          <w:sz w:val="20"/>
        </w:rPr>
        <w:t xml:space="preserve"> für Hotels mit signifikanter MICE-Tätigkeit</w:t>
      </w:r>
    </w:p>
    <w:p>
      <w:pPr>
        <w:pStyle w:val="ListBullet"/>
        <w:spacing w:after="40"/>
      </w:pPr>
      <w:r>
        <w:rPr>
          <w:rFonts w:ascii="Georgia" w:hAnsi="Georgia"/>
          <w:sz w:val="20"/>
        </w:rPr>
      </w:r>
      <w:r>
        <w:rPr>
          <w:rFonts w:ascii="Georgia" w:hAnsi="Georgia"/>
          <w:b/>
          <w:sz w:val="20"/>
        </w:rPr>
        <w:t>Generische ESG-Ziele</w:t>
      </w:r>
      <w:r>
        <w:rPr>
          <w:rFonts w:ascii="Georgia" w:hAnsi="Georgia"/>
          <w:sz w:val="20"/>
        </w:rPr>
        <w:t xml:space="preserve"> ohne quantifizierte KPIs und Zwischenziele</w:t>
      </w:r>
    </w:p>
    <w:p>
      <w:pPr>
        <w:pStyle w:val="ListBullet"/>
        <w:spacing w:after="40"/>
      </w:pPr>
      <w:r>
        <w:rPr>
          <w:rFonts w:ascii="Georgia" w:hAnsi="Georgia"/>
          <w:sz w:val="20"/>
        </w:rPr>
      </w:r>
      <w:r>
        <w:rPr>
          <w:rFonts w:ascii="Georgia" w:hAnsi="Georgia"/>
          <w:b/>
          <w:sz w:val="20"/>
        </w:rPr>
        <w:t>Aggregierte Zahlen</w:t>
      </w:r>
      <w:r>
        <w:rPr>
          <w:rFonts w:ascii="Georgia" w:hAnsi="Georgia"/>
          <w:sz w:val="20"/>
        </w:rPr>
        <w:t xml:space="preserve"> ohne regionale oder Property-Disaggregation</w:t>
      </w:r>
    </w:p>
    <w:p>
      <w:pPr>
        <w:spacing w:after="40"/>
      </w:pPr>
    </w:p>
    <w:p>
      <w:pPr>
        <w:spacing w:before="160" w:after="40"/>
      </w:pPr>
      <w:r>
        <w:rPr>
          <w:rFonts w:ascii="Georgia" w:hAnsi="Georgia"/>
          <w:b/>
          <w:color w:val="5D6D7E"/>
          <w:sz w:val="21"/>
        </w:rPr>
        <w:t>3.3 — Der realistische Einstiegspfad</w:t>
      </w:r>
    </w:p>
    <w:p>
      <w:pPr>
        <w:spacing w:after="40"/>
      </w:pPr>
    </w:p>
    <w:p>
      <w:pPr>
        <w:spacing w:after="80"/>
      </w:pPr>
      <w:r>
        <w:rPr>
          <w:rFonts w:ascii="Georgia" w:hAnsi="Georgia"/>
          <w:sz w:val="21"/>
        </w:rPr>
        <w:t>Für ein DACH-Hotel, das mit ESG-Disclosure beginnt, ohne die Ressourcen einer Hilton oder Accor zu haben, empfiehlt sich folgender Pfad:</w:t>
      </w:r>
    </w:p>
    <w:p>
      <w:pPr>
        <w:spacing w:after="40"/>
      </w:pPr>
    </w:p>
    <w:p>
      <w:pPr>
        <w:spacing w:after="80"/>
      </w:pPr>
      <w:r>
        <w:rPr>
          <w:rFonts w:ascii="Georgia" w:hAnsi="Georgia"/>
          <w:sz w:val="21"/>
        </w:rPr>
      </w:r>
      <w:r>
        <w:rPr>
          <w:rFonts w:ascii="Georgia" w:hAnsi="Georgia"/>
          <w:b/>
          <w:sz w:val="21"/>
        </w:rPr>
        <w:t>Jahr 1:</w:t>
      </w:r>
      <w:r>
        <w:rPr>
          <w:rFonts w:ascii="Georgia" w:hAnsi="Georgia"/>
          <w:sz w:val="21"/>
        </w:rPr>
        <w:t xml:space="preserve"> Scope-1-und-2-Emissionsinventar nach ISO 14064-1; Wasserverbrauchs-Monitoring nach Abteilung; erstes GRI-Content-Index-Dokument (minimale Core-Option)</w:t>
      </w:r>
    </w:p>
    <w:p>
      <w:pPr>
        <w:spacing w:after="40"/>
      </w:pPr>
    </w:p>
    <w:p>
      <w:pPr>
        <w:spacing w:after="80"/>
      </w:pPr>
      <w:r>
        <w:rPr>
          <w:rFonts w:ascii="Georgia" w:hAnsi="Georgia"/>
          <w:sz w:val="21"/>
        </w:rPr>
      </w:r>
      <w:r>
        <w:rPr>
          <w:rFonts w:ascii="Georgia" w:hAnsi="Georgia"/>
          <w:b/>
          <w:sz w:val="21"/>
        </w:rPr>
        <w:t>Jahr 2:</w:t>
      </w:r>
      <w:r>
        <w:rPr>
          <w:rFonts w:ascii="Georgia" w:hAnsi="Georgia"/>
          <w:sz w:val="21"/>
        </w:rPr>
        <w:t xml:space="preserve"> Scope-3-Schätzung für Top-3-Kategorien nach spend-based Methodik; Klimarisikobewertung mit WRI Aqueduct; erster Nachhaltigkeitsbericht (intern produziert, GRI Core)</w:t>
      </w:r>
    </w:p>
    <w:p>
      <w:pPr>
        <w:spacing w:after="40"/>
      </w:pPr>
    </w:p>
    <w:p>
      <w:pPr>
        <w:spacing w:after="80"/>
      </w:pPr>
      <w:r>
        <w:rPr>
          <w:rFonts w:ascii="Georgia" w:hAnsi="Georgia"/>
          <w:sz w:val="21"/>
        </w:rPr>
      </w:r>
      <w:r>
        <w:rPr>
          <w:rFonts w:ascii="Georgia" w:hAnsi="Georgia"/>
          <w:b/>
          <w:sz w:val="21"/>
        </w:rPr>
        <w:t>Jahr 3:</w:t>
      </w:r>
      <w:r>
        <w:rPr>
          <w:rFonts w:ascii="Georgia" w:hAnsi="Georgia"/>
          <w:sz w:val="21"/>
        </w:rPr>
        <w:t xml:space="preserve"> Externe Verifikation ausgewählter Indikatoren; SBTi-Commitment; ESRS-Alignment für Betriebe mit Corporate-Kundschaft; strukturierter ESG-Fragebogen-Prozess</w:t>
      </w:r>
    </w:p>
    <w:p>
      <w:pPr>
        <w:spacing w:after="40"/>
      </w:pPr>
    </w:p>
    <w:p>
      <w:pPr>
        <w:spacing w:after="80"/>
      </w:pPr>
      <w:r>
        <w:rPr>
          <w:rFonts w:ascii="Georgia" w:hAnsi="Georgia"/>
          <w:sz w:val="21"/>
        </w:rPr>
        <w:t>Dieser Dreijahrespfad ist kohärent mit dem ISO-14001:2026-Systemaufbau und produziert am Ende von Jahr 3 eine Disclosure-Qualität, die mit dem mittelgroßen Segment der internationalen Hotelketten vergleichbar ist.</w:t>
      </w:r>
    </w:p>
    <w:p>
      <w:pPr>
        <w:spacing w:after="40"/>
      </w:pPr>
    </w:p>
    <w:p>
      <w:pPr>
        <w:spacing w:before="160" w:after="160"/>
      </w:pPr>
      <w:r>
        <w:rPr>
          <w:color w:val="CCCCCC"/>
          <w:sz w:val="16"/>
        </w:rPr>
        <w:t>────────────────────────────────────────────────────────────────────────────────</w:t>
      </w:r>
    </w:p>
    <w:p>
      <w:pPr>
        <w:spacing w:after="40"/>
      </w:pPr>
    </w:p>
    <w:p>
      <w:pPr>
        <w:spacing w:before="200" w:after="60"/>
      </w:pPr>
      <w:r>
        <w:rPr>
          <w:rFonts w:ascii="Georgia" w:hAnsi="Georgia"/>
          <w:b/>
          <w:color w:val="445A6F"/>
          <w:sz w:val="22"/>
        </w:rPr>
        <w:t>Weiterführende Quellen (alle öffentlich zugänglich)</w:t>
      </w:r>
    </w:p>
    <w:p>
      <w:pPr>
        <w:spacing w:after="40"/>
      </w:pPr>
    </w:p>
    <w:p>
      <w:pPr>
        <w:pStyle w:val="ListBullet"/>
        <w:spacing w:after="40"/>
      </w:pPr>
      <w:r>
        <w:rPr>
          <w:rFonts w:ascii="Georgia" w:hAnsi="Georgia"/>
          <w:sz w:val="20"/>
        </w:rPr>
        <w:t>Hilton ESG-Bericht: esg.hilton.com</w:t>
      </w:r>
    </w:p>
    <w:p>
      <w:pPr>
        <w:pStyle w:val="ListBullet"/>
        <w:spacing w:after="40"/>
      </w:pPr>
      <w:r>
        <w:rPr>
          <w:rFonts w:ascii="Georgia" w:hAnsi="Georgia"/>
          <w:sz w:val="20"/>
        </w:rPr>
        <w:t>Marriott Serve 360: marriott.com/serve360</w:t>
      </w:r>
    </w:p>
    <w:p>
      <w:pPr>
        <w:pStyle w:val="ListBullet"/>
        <w:spacing w:after="40"/>
      </w:pPr>
      <w:r>
        <w:rPr>
          <w:rFonts w:ascii="Georgia" w:hAnsi="Georgia"/>
          <w:sz w:val="20"/>
        </w:rPr>
        <w:t>IHG Journey to Tomorrow: ihgplc.com/responsible-business</w:t>
      </w:r>
    </w:p>
    <w:p>
      <w:pPr>
        <w:pStyle w:val="ListBullet"/>
        <w:spacing w:after="40"/>
      </w:pPr>
      <w:r>
        <w:rPr>
          <w:rFonts w:ascii="Georgia" w:hAnsi="Georgia"/>
          <w:sz w:val="20"/>
        </w:rPr>
        <w:t>Accor Nachhaltigkeit: group.accor.com/sustainability</w:t>
      </w:r>
    </w:p>
    <w:p>
      <w:pPr>
        <w:pStyle w:val="ListBullet"/>
        <w:spacing w:after="40"/>
      </w:pPr>
      <w:r>
        <w:rPr>
          <w:rFonts w:ascii="Georgia" w:hAnsi="Georgia"/>
          <w:sz w:val="20"/>
        </w:rPr>
        <w:t>Steigenberger Nachhaltigkeit: steigenberger.com</w:t>
      </w:r>
    </w:p>
    <w:p>
      <w:pPr>
        <w:pStyle w:val="ListBullet"/>
        <w:spacing w:after="40"/>
      </w:pPr>
      <w:r>
        <w:rPr>
          <w:rFonts w:ascii="Georgia" w:hAnsi="Georgia"/>
          <w:sz w:val="20"/>
        </w:rPr>
        <w:t>Falkensteiner Nachhaltigkeit: falkensteiner.com/nachhaltigkeit</w:t>
      </w:r>
    </w:p>
    <w:p>
      <w:pPr>
        <w:pStyle w:val="ListBullet"/>
        <w:spacing w:after="40"/>
      </w:pPr>
      <w:r>
        <w:rPr>
          <w:rFonts w:ascii="Georgia" w:hAnsi="Georgia"/>
          <w:sz w:val="20"/>
        </w:rPr>
        <w:t>WRI Aqueduct (kostenloses Wasserrisiko-Tool): aqueduct.wri.org</w:t>
      </w:r>
    </w:p>
    <w:p>
      <w:pPr>
        <w:pStyle w:val="ListBullet"/>
        <w:spacing w:after="40"/>
      </w:pPr>
      <w:r>
        <w:rPr>
          <w:rFonts w:ascii="Georgia" w:hAnsi="Georgia"/>
          <w:sz w:val="20"/>
        </w:rPr>
        <w:t>SBTi Hotel-Sektor-Guidance: sciencebasedtargets.org</w:t>
      </w:r>
    </w:p>
    <w:p>
      <w:pPr>
        <w:pStyle w:val="ListBullet"/>
        <w:spacing w:after="40"/>
      </w:pPr>
      <w:r>
        <w:rPr>
          <w:rFonts w:ascii="Georgia" w:hAnsi="Georgia"/>
          <w:sz w:val="20"/>
        </w:rPr>
        <w:t>HCMI-Methodik: hcmi.co</w:t>
      </w:r>
    </w:p>
    <w:p>
      <w:pPr>
        <w:pStyle w:val="ListBullet"/>
        <w:spacing w:after="40"/>
      </w:pPr>
      <w:r>
        <w:rPr>
          <w:rFonts w:ascii="Georgia" w:hAnsi="Georgia"/>
          <w:sz w:val="20"/>
        </w:rPr>
        <w:t>GRI Hospitality Sector Standard: globalreporting.org</w:t>
      </w:r>
    </w:p>
    <w:p>
      <w:pPr>
        <w:spacing w:after="40"/>
      </w:pPr>
    </w:p>
    <w:p>
      <w:pPr>
        <w:spacing w:before="160" w:after="160"/>
      </w:pPr>
      <w:r>
        <w:rPr>
          <w:color w:val="CCCCCC"/>
          <w:sz w:val="16"/>
        </w:rPr>
        <w:t>────────────────────────────────────────────────────────────────────────────────</w:t>
      </w:r>
    </w:p>
    <w:p>
      <w:pPr>
        <w:spacing w:after="40"/>
      </w:pPr>
    </w:p>
    <w:p>
      <w:pPr>
        <w:spacing w:after="80"/>
      </w:pPr>
      <w:r>
        <w:rPr>
          <w:rFonts w:ascii="Georgia" w:hAnsi="Georgia"/>
          <w:sz w:val="21"/>
        </w:rPr>
      </w:r>
      <w:r>
        <w:rPr>
          <w:rFonts w:ascii="Georgia" w:hAnsi="Georgia"/>
          <w:i/>
          <w:sz w:val="21"/>
        </w:rPr>
        <w:t>Dokument erstellt von Francesco Dore — buecher.effedore.com</w:t>
      </w:r>
      <w:r>
        <w:rPr>
          <w:rFonts w:ascii="Georgia" w:hAnsi="Georgia"/>
          <w:sz w:val="21"/>
        </w:rPr>
      </w:r>
    </w:p>
    <w:p>
      <w:pPr>
        <w:spacing w:after="80"/>
      </w:pPr>
      <w:r>
        <w:rPr>
          <w:rFonts w:ascii="Georgia" w:hAnsi="Georgia"/>
          <w:sz w:val="21"/>
        </w:rPr>
      </w:r>
      <w:r>
        <w:rPr>
          <w:rFonts w:ascii="Georgia" w:hAnsi="Georgia"/>
          <w:i/>
          <w:sz w:val="21"/>
        </w:rPr>
        <w:t>Schriftenreihe „Das Steuer und die Lupe" — ISO 14001:2026 — Umweltmanagementsysteme für das Gastgewerbe DACH</w:t>
      </w:r>
      <w:r>
        <w:rPr>
          <w:rFonts w:ascii="Georgia" w:hAnsi="Georgia"/>
          <w:sz w:val="21"/>
        </w:rPr>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