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BC089" w14:textId="77777777" w:rsidR="00DE3723" w:rsidRDefault="00000000">
      <w:pPr>
        <w:spacing w:before="320" w:after="120"/>
      </w:pPr>
      <w:r>
        <w:rPr>
          <w:b/>
          <w:color w:val="1A1A2E"/>
          <w:sz w:val="28"/>
        </w:rPr>
        <w:t>ONLINE-PLATTFORM — buecher.effedore.com</w:t>
      </w:r>
    </w:p>
    <w:p w14:paraId="3385F913" w14:textId="77777777" w:rsidR="00DE3723" w:rsidRDefault="00DE3723">
      <w:pPr>
        <w:spacing w:after="40"/>
      </w:pPr>
    </w:p>
    <w:p w14:paraId="35B1154F" w14:textId="77777777" w:rsidR="00DE3723" w:rsidRDefault="00000000">
      <w:pPr>
        <w:spacing w:before="320" w:after="120"/>
      </w:pPr>
      <w:r>
        <w:rPr>
          <w:b/>
          <w:color w:val="1A1A2E"/>
          <w:sz w:val="28"/>
        </w:rPr>
        <w:t>Material zu Unterkapitel 1.5</w:t>
      </w:r>
    </w:p>
    <w:p w14:paraId="658B5582" w14:textId="77777777" w:rsidR="00DE3723" w:rsidRDefault="00DE3723">
      <w:pPr>
        <w:spacing w:after="40"/>
      </w:pPr>
    </w:p>
    <w:p w14:paraId="2D5C45F4" w14:textId="77777777" w:rsidR="00DE3723" w:rsidRDefault="00000000">
      <w:pPr>
        <w:spacing w:before="160" w:after="160"/>
      </w:pPr>
      <w:r>
        <w:rPr>
          <w:color w:val="CCCCCC"/>
          <w:sz w:val="16"/>
        </w:rPr>
        <w:t>────────────────────────────────────────────────────────────────────────────────</w:t>
      </w:r>
    </w:p>
    <w:p w14:paraId="47F4606E" w14:textId="77777777" w:rsidR="00DE3723" w:rsidRDefault="00DE3723">
      <w:pPr>
        <w:spacing w:after="40"/>
      </w:pPr>
    </w:p>
    <w:p w14:paraId="05243E0C" w14:textId="77777777" w:rsidR="00DE3723" w:rsidRDefault="00000000">
      <w:pPr>
        <w:spacing w:before="320" w:after="120"/>
      </w:pPr>
      <w:r>
        <w:rPr>
          <w:b/>
          <w:color w:val="1A1A2E"/>
          <w:sz w:val="28"/>
        </w:rPr>
        <w:t>1. Aktualisierte Kartierung der CSRD/ESRS-Anforderungen anwendbar auf das DACH-Gastgewerbe</w:t>
      </w:r>
    </w:p>
    <w:p w14:paraId="5A6CFCEB" w14:textId="77777777" w:rsidR="00DE3723" w:rsidRDefault="00DE3723">
      <w:pPr>
        <w:spacing w:after="40"/>
      </w:pPr>
    </w:p>
    <w:p w14:paraId="222FA3CE" w14:textId="77777777" w:rsidR="00DE3723" w:rsidRDefault="00000000">
      <w:pPr>
        <w:spacing w:before="240" w:after="80"/>
      </w:pPr>
      <w:r>
        <w:rPr>
          <w:b/>
          <w:color w:val="2C3E50"/>
          <w:sz w:val="24"/>
        </w:rPr>
        <w:t>*Wer ist betroffen, was wird verlangt, und wie wirkt es auf Hotels*</w:t>
      </w:r>
    </w:p>
    <w:p w14:paraId="18ABE6E9" w14:textId="77777777" w:rsidR="00DE3723" w:rsidRDefault="00DE3723">
      <w:pPr>
        <w:spacing w:after="40"/>
      </w:pPr>
    </w:p>
    <w:p w14:paraId="15C640A7" w14:textId="77777777" w:rsidR="00DE3723" w:rsidRDefault="00000000">
      <w:pPr>
        <w:spacing w:after="80"/>
      </w:pPr>
      <w:r>
        <w:rPr>
          <w:b/>
        </w:rPr>
        <w:t>Dokumentversion:</w:t>
      </w:r>
      <w:r>
        <w:t xml:space="preserve"> 1.0 — </w:t>
      </w:r>
      <w:r>
        <w:rPr>
          <w:i/>
        </w:rPr>
        <w:t>Aktualisiert zum [Datum der Plattformveröffentlichung]</w:t>
      </w:r>
    </w:p>
    <w:p w14:paraId="71AB0F7F" w14:textId="77777777" w:rsidR="00DE3723" w:rsidRDefault="00000000">
      <w:pPr>
        <w:spacing w:after="80"/>
      </w:pPr>
      <w:r>
        <w:rPr>
          <w:b/>
        </w:rPr>
        <w:t>Geplante Aktualisierung:</w:t>
      </w:r>
      <w:r>
        <w:t xml:space="preserve"> Bei jeder wesentlichen normativen Entwicklung und jährlich</w:t>
      </w:r>
    </w:p>
    <w:p w14:paraId="4A7E6A41" w14:textId="77777777" w:rsidR="00DE3723" w:rsidRDefault="00000000">
      <w:pPr>
        <w:spacing w:after="80"/>
      </w:pPr>
      <w:r>
        <w:rPr>
          <w:b/>
        </w:rPr>
        <w:t>Normative Referenzen:</w:t>
      </w:r>
      <w:r>
        <w:t xml:space="preserve"> Richtlinie 2022/2464/EU (CSRD), ESRS-Standards (EFRAG 2023), Richtlinie 2013/34/EU, LkSG (DE), CSDDD 2024/1760/EU</w:t>
      </w:r>
    </w:p>
    <w:p w14:paraId="6EBF27D6" w14:textId="77777777" w:rsidR="00DE3723" w:rsidRDefault="00DE3723">
      <w:pPr>
        <w:spacing w:after="40"/>
      </w:pPr>
    </w:p>
    <w:p w14:paraId="36682FFC" w14:textId="77777777" w:rsidR="00DE3723" w:rsidRDefault="00000000">
      <w:pPr>
        <w:spacing w:before="160" w:after="160"/>
      </w:pPr>
      <w:r>
        <w:rPr>
          <w:color w:val="CCCCCC"/>
          <w:sz w:val="16"/>
        </w:rPr>
        <w:t>────────────────────────────────────────────────────────────────────────────────</w:t>
      </w:r>
    </w:p>
    <w:p w14:paraId="5605981C" w14:textId="77777777" w:rsidR="00DE3723" w:rsidRDefault="00DE3723">
      <w:pPr>
        <w:spacing w:after="40"/>
      </w:pPr>
    </w:p>
    <w:p w14:paraId="2FA9418A" w14:textId="77777777" w:rsidR="00DE3723" w:rsidRDefault="00000000">
      <w:pPr>
        <w:spacing w:before="200" w:after="60"/>
      </w:pPr>
      <w:r>
        <w:rPr>
          <w:b/>
          <w:color w:val="445A6F"/>
          <w:sz w:val="22"/>
        </w:rPr>
        <w:t>Vorbemerkung: Warum dieses Dokument jährlich aktualisiert wird</w:t>
      </w:r>
    </w:p>
    <w:p w14:paraId="0B441D08" w14:textId="77777777" w:rsidR="00DE3723" w:rsidRDefault="00DE3723">
      <w:pPr>
        <w:spacing w:after="40"/>
      </w:pPr>
    </w:p>
    <w:p w14:paraId="4F1A83D6" w14:textId="77777777" w:rsidR="00DE3723" w:rsidRDefault="00000000">
      <w:pPr>
        <w:spacing w:after="80"/>
      </w:pPr>
      <w:r>
        <w:t>Der CSRD/ESRS-Rahmen ist der am schnellsten evolvierende normative Bereich im europäischen ESG-Kontext. Seit der CSRD-Veröffentlichung im Dezember 2022 haben sich die Umsetzungsfristen, die delegierten Verordnungen, die Guidance-Dokumente und die nationalen DACH-Umsetzungsgesetze mehrfach verändert. Dieses Dokument bildet den Stand zum Veröffentlichungsdatum ab — der registrierte Nutzer erhält automatisch eine Benachrichtigung bei jeder wesentlichen Aktualisierung.</w:t>
      </w:r>
    </w:p>
    <w:p w14:paraId="474090F8" w14:textId="77777777" w:rsidR="00DE3723" w:rsidRDefault="00DE3723">
      <w:pPr>
        <w:spacing w:after="40"/>
      </w:pPr>
    </w:p>
    <w:p w14:paraId="130646F9" w14:textId="77777777" w:rsidR="00DE3723" w:rsidRDefault="00000000">
      <w:pPr>
        <w:spacing w:before="160" w:after="160"/>
      </w:pPr>
      <w:r>
        <w:rPr>
          <w:color w:val="CCCCCC"/>
          <w:sz w:val="16"/>
        </w:rPr>
        <w:t>────────────────────────────────────────────────────────────────────────────────</w:t>
      </w:r>
    </w:p>
    <w:p w14:paraId="72DD7FDE" w14:textId="77777777" w:rsidR="00DE3723" w:rsidRDefault="00DE3723">
      <w:pPr>
        <w:spacing w:after="40"/>
      </w:pPr>
    </w:p>
    <w:p w14:paraId="367F5771" w14:textId="77777777" w:rsidR="00DE3723" w:rsidRDefault="00000000">
      <w:pPr>
        <w:spacing w:before="200" w:after="60"/>
      </w:pPr>
      <w:r>
        <w:rPr>
          <w:b/>
          <w:color w:val="445A6F"/>
          <w:sz w:val="22"/>
        </w:rPr>
        <w:t>Abschnitt 1 — CSRD-Anwendungsbereich: Wer ist direkt betroffen?</w:t>
      </w:r>
    </w:p>
    <w:p w14:paraId="4E4A6430" w14:textId="77777777" w:rsidR="00DE3723" w:rsidRDefault="00DE3723">
      <w:pPr>
        <w:spacing w:after="40"/>
      </w:pPr>
    </w:p>
    <w:p w14:paraId="16F272FC" w14:textId="77777777" w:rsidR="00DE3723" w:rsidRDefault="00000000">
      <w:pPr>
        <w:spacing w:before="160" w:after="40"/>
      </w:pPr>
      <w:r>
        <w:rPr>
          <w:b/>
          <w:color w:val="5D6D7E"/>
        </w:rPr>
        <w:t>1.1 — Die Stufenregelung der CSRD</w:t>
      </w:r>
    </w:p>
    <w:p w14:paraId="6E31F673" w14:textId="77777777" w:rsidR="00DE3723" w:rsidRDefault="00DE3723">
      <w:pPr>
        <w:spacing w:after="40"/>
      </w:pPr>
    </w:p>
    <w:p w14:paraId="0DC88FDE" w14:textId="77777777" w:rsidR="00DE3723" w:rsidRDefault="00000000">
      <w:pPr>
        <w:spacing w:after="80"/>
      </w:pPr>
      <w:r>
        <w:lastRenderedPageBreak/>
        <w:t>Die Corporate Sustainability Reporting Directive (CSRD, Richtlinie 2022/2464/EU) führt die Nachhaltigkeitsberichtspflicht schrittweise ein, nach Unternehmensgröße und -typ gestaffelt.</w:t>
      </w:r>
    </w:p>
    <w:p w14:paraId="6243F550" w14:textId="77777777" w:rsidR="00DE3723" w:rsidRDefault="00DE3723">
      <w:pPr>
        <w:spacing w:after="40"/>
      </w:pPr>
    </w:p>
    <w:p w14:paraId="6426EAB5" w14:textId="77777777" w:rsidR="00DE3723" w:rsidRDefault="00000000">
      <w:pPr>
        <w:spacing w:before="160" w:after="40"/>
      </w:pPr>
      <w:r>
        <w:rPr>
          <w:b/>
          <w:color w:val="2C3E50"/>
          <w:sz w:val="22"/>
        </w:rPr>
        <w:t>Stufe 1 — Ab Geschäftsjahr 2024 (Berichterstattung 2025):</w:t>
      </w:r>
    </w:p>
    <w:p w14:paraId="44070A21" w14:textId="77777777" w:rsidR="00DE3723" w:rsidRDefault="00000000">
      <w:pPr>
        <w:spacing w:after="80"/>
      </w:pPr>
      <w:r>
        <w:t>Große Unternehmen des öffentlichen Interesses (PIE) mit mehr als 500 Mitarbeitern — bereits unter der NFRD berichtspflichtig. Im DACH-Gastgewerbe: börsennotierte Hotelgruppen, kapitalmarktorientierte Hotelimmobilienfonds (REITs), Banken und Versicherungen mit Hotelimmobilien-Portfolios.</w:t>
      </w:r>
    </w:p>
    <w:p w14:paraId="5D1C6ECD" w14:textId="77777777" w:rsidR="00DE3723" w:rsidRDefault="00DE3723">
      <w:pPr>
        <w:spacing w:after="40"/>
      </w:pPr>
    </w:p>
    <w:p w14:paraId="26D38E02" w14:textId="77777777" w:rsidR="00DE3723" w:rsidRDefault="00000000">
      <w:pPr>
        <w:spacing w:before="160" w:after="40"/>
      </w:pPr>
      <w:r>
        <w:rPr>
          <w:b/>
          <w:color w:val="2C3E50"/>
          <w:sz w:val="22"/>
        </w:rPr>
        <w:t>Stufe 2 — Ab Geschäftsjahr 2025 (Berichterstattung 2026):</w:t>
      </w:r>
    </w:p>
    <w:p w14:paraId="1CFBACE8" w14:textId="77777777" w:rsidR="00DE3723" w:rsidRDefault="00000000">
      <w:pPr>
        <w:spacing w:after="80"/>
      </w:pPr>
      <w:r>
        <w:t>Große Unternehmen (nicht PIE) mit mindestens zwei der drei Kriterien: mehr als 250 Mitarbeiter, mehr als 50 Mio. EUR Umsatz, mehr als 25 Mio. EUR Bilanzsumme. Im DACH-Gastgewerbe: große Hotelketten, große Hotelimmobiliengesellschaften, große Managementgesellschaften.</w:t>
      </w:r>
    </w:p>
    <w:p w14:paraId="7E251360" w14:textId="77777777" w:rsidR="00DE3723" w:rsidRDefault="00DE3723">
      <w:pPr>
        <w:spacing w:after="40"/>
      </w:pPr>
    </w:p>
    <w:p w14:paraId="6F653492" w14:textId="77777777" w:rsidR="00DE3723" w:rsidRDefault="00000000">
      <w:pPr>
        <w:spacing w:before="160" w:after="40"/>
      </w:pPr>
      <w:r>
        <w:rPr>
          <w:b/>
          <w:color w:val="2C3E50"/>
          <w:sz w:val="22"/>
        </w:rPr>
        <w:t>Stufe 3 — Ab Geschäftsjahr 2026 (Berichterstattung 2027):</w:t>
      </w:r>
    </w:p>
    <w:p w14:paraId="189EB80F" w14:textId="77777777" w:rsidR="00DE3723" w:rsidRDefault="00000000">
      <w:pPr>
        <w:spacing w:after="80"/>
      </w:pPr>
      <w:r>
        <w:t>Börsennotierte KMU (mit Opt-out-Möglichkeit bis 2028). Im DACH-Gastgewerbe: börsennotierte mittelgroße Hotelgruppen.</w:t>
      </w:r>
    </w:p>
    <w:p w14:paraId="1C07C409" w14:textId="77777777" w:rsidR="00DE3723" w:rsidRDefault="00DE3723">
      <w:pPr>
        <w:spacing w:after="40"/>
      </w:pPr>
    </w:p>
    <w:p w14:paraId="70F843AA" w14:textId="77777777" w:rsidR="00DE3723" w:rsidRDefault="00000000">
      <w:pPr>
        <w:spacing w:before="160" w:after="40"/>
      </w:pPr>
      <w:r>
        <w:rPr>
          <w:b/>
          <w:color w:val="2C3E50"/>
          <w:sz w:val="22"/>
        </w:rPr>
        <w:t>Stufe 4 — Drittlandsunternehmen:</w:t>
      </w:r>
    </w:p>
    <w:p w14:paraId="7F48CC03" w14:textId="77777777" w:rsidR="00DE3723" w:rsidRDefault="00000000">
      <w:pPr>
        <w:spacing w:after="80"/>
      </w:pPr>
      <w:r>
        <w:t>Nicht-EU-Unternehmen mit EU-Umsatz über 150 Mio. EUR und mindestens einer EU-Tochter oder -Niederlassung. Relevant für internationale Hotelketten mit DACH-Präsenz (Marriott, Hilton, IHG, Accor).</w:t>
      </w:r>
    </w:p>
    <w:p w14:paraId="26C787A7" w14:textId="77777777" w:rsidR="00DE3723" w:rsidRDefault="00DE3723">
      <w:pPr>
        <w:spacing w:after="40"/>
      </w:pPr>
    </w:p>
    <w:p w14:paraId="4FABCF2F" w14:textId="77777777" w:rsidR="00DE3723" w:rsidRDefault="00000000">
      <w:pPr>
        <w:spacing w:before="160" w:after="40"/>
      </w:pPr>
      <w:r>
        <w:rPr>
          <w:b/>
          <w:color w:val="5D6D7E"/>
        </w:rPr>
        <w:t>1.2 — Nationale DACH-Umsetzungsgesetze *[V — bei Umsetzungsverzögerungen zu verifizieren]*</w:t>
      </w:r>
    </w:p>
    <w:p w14:paraId="0D381CC9" w14:textId="77777777" w:rsidR="00DE3723" w:rsidRDefault="00DE3723">
      <w:pPr>
        <w:spacing w:after="40"/>
      </w:pPr>
    </w:p>
    <w:p w14:paraId="3CB51546" w14:textId="77777777" w:rsidR="00DE3723" w:rsidRDefault="00000000">
      <w:pPr>
        <w:spacing w:after="80"/>
      </w:pPr>
      <w:r>
        <w:rPr>
          <w:b/>
        </w:rPr>
        <w:t>Deutschland:</w:t>
      </w:r>
      <w:r>
        <w:t xml:space="preserve"> Umsetzung der CSRD durch das CSR-Richtlinie-Umsetzungsgesetz — Anpassung des HGB (Handelsgesetzbuch), §§ 289b ff. und §§ 315b ff. Die Bundesregierung hat die Umsetzung in nationales Recht vorgenommen </w:t>
      </w:r>
      <w:r>
        <w:rPr>
          <w:i/>
        </w:rPr>
        <w:t>[V — genaues Datum und eventuelle Verzögerungen verifizieren auf: bmj.de]</w:t>
      </w:r>
      <w:r>
        <w:t>.</w:t>
      </w:r>
    </w:p>
    <w:p w14:paraId="09FDF87F" w14:textId="77777777" w:rsidR="00DE3723" w:rsidRDefault="00DE3723">
      <w:pPr>
        <w:spacing w:after="40"/>
      </w:pPr>
    </w:p>
    <w:p w14:paraId="6F32E059" w14:textId="77777777" w:rsidR="00DE3723" w:rsidRDefault="00000000">
      <w:pPr>
        <w:spacing w:after="80"/>
      </w:pPr>
      <w:r>
        <w:rPr>
          <w:b/>
        </w:rPr>
        <w:t>Österreich:</w:t>
      </w:r>
      <w:r>
        <w:t xml:space="preserve"> Umsetzung durch das Nachhaltigkeitsberichterstattungsgesetz (NBeG) — Anpassung des UGB (Unternehmensgesetzbuch). </w:t>
      </w:r>
      <w:r>
        <w:rPr>
          <w:i/>
        </w:rPr>
        <w:t>[V — aktuellen Status verifizieren auf: bmf.gv.at und parlament.gv.at]</w:t>
      </w:r>
      <w:r>
        <w:t>.</w:t>
      </w:r>
    </w:p>
    <w:p w14:paraId="0DD5A9BA" w14:textId="77777777" w:rsidR="00DE3723" w:rsidRDefault="00DE3723">
      <w:pPr>
        <w:spacing w:after="40"/>
      </w:pPr>
    </w:p>
    <w:p w14:paraId="58DCED8E" w14:textId="77777777" w:rsidR="00DE3723" w:rsidRDefault="00000000">
      <w:pPr>
        <w:spacing w:after="80"/>
      </w:pPr>
      <w:r>
        <w:rPr>
          <w:b/>
        </w:rPr>
        <w:t>Schweiz:</w:t>
      </w:r>
      <w:r>
        <w:t xml:space="preserve"> Die Schweiz ist nicht EU-Mitglied und nicht direkt CSRD-pflichtig. Relevante Parallelrahmen:</w:t>
      </w:r>
    </w:p>
    <w:p w14:paraId="2E924823" w14:textId="77777777" w:rsidR="00DE3723" w:rsidRDefault="00000000">
      <w:pPr>
        <w:pStyle w:val="Puntoelenco"/>
        <w:spacing w:after="40"/>
      </w:pPr>
      <w:r>
        <w:rPr>
          <w:sz w:val="20"/>
        </w:rPr>
        <w:t>Aktienrechtsrevision 2023 — Berichtspflichten zu nicht-finanziellen Belangen für große Unternehmen (Art. 964a-964l OR)</w:t>
      </w:r>
    </w:p>
    <w:p w14:paraId="3CE6419A" w14:textId="77777777" w:rsidR="00DE3723" w:rsidRDefault="00000000">
      <w:pPr>
        <w:pStyle w:val="Puntoelenco"/>
        <w:spacing w:after="40"/>
      </w:pPr>
      <w:r>
        <w:rPr>
          <w:sz w:val="20"/>
        </w:rPr>
        <w:t>Swiss Climate Scores — freiwilliger Standard, zunehmend von institutionellen Investoren erwartet</w:t>
      </w:r>
    </w:p>
    <w:p w14:paraId="686F9772" w14:textId="77777777" w:rsidR="00DE3723" w:rsidRDefault="00000000">
      <w:pPr>
        <w:pStyle w:val="Puntoelenco"/>
        <w:spacing w:after="40"/>
      </w:pPr>
      <w:r>
        <w:rPr>
          <w:sz w:val="20"/>
        </w:rPr>
        <w:lastRenderedPageBreak/>
        <w:t>SIX Swiss Exchange ESG-Anforderungen — für kotierte Unternehmen</w:t>
      </w:r>
    </w:p>
    <w:p w14:paraId="1C11DCD6" w14:textId="77777777" w:rsidR="00DE3723" w:rsidRDefault="00000000">
      <w:pPr>
        <w:pStyle w:val="Puntoelenco"/>
        <w:spacing w:after="40"/>
      </w:pPr>
      <w:r>
        <w:rPr>
          <w:sz w:val="20"/>
        </w:rPr>
        <w:t>FINMA-Leitlinien — Klima-Reporting für Finanzinstitute</w:t>
      </w:r>
    </w:p>
    <w:p w14:paraId="7451D136" w14:textId="77777777" w:rsidR="00DE3723" w:rsidRDefault="00000000">
      <w:pPr>
        <w:pStyle w:val="Puntoelenco"/>
        <w:spacing w:after="40"/>
      </w:pPr>
      <w:r>
        <w:rPr>
          <w:sz w:val="20"/>
        </w:rPr>
        <w:t>Freiwillige Ausrichtung an CSRD-kompatiblen Standards (GRI, TCFD) wird von DACH-Großkunden zunehmend erwartet</w:t>
      </w:r>
    </w:p>
    <w:p w14:paraId="01D3EBCC" w14:textId="77777777" w:rsidR="00DE3723" w:rsidRDefault="00DE3723">
      <w:pPr>
        <w:spacing w:after="40"/>
      </w:pPr>
    </w:p>
    <w:p w14:paraId="3A09A93B" w14:textId="77777777" w:rsidR="00DE3723" w:rsidRDefault="00000000">
      <w:pPr>
        <w:spacing w:before="160" w:after="160"/>
      </w:pPr>
      <w:r>
        <w:rPr>
          <w:color w:val="CCCCCC"/>
          <w:sz w:val="16"/>
        </w:rPr>
        <w:t>────────────────────────────────────────────────────────────────────────────────</w:t>
      </w:r>
    </w:p>
    <w:p w14:paraId="1FAE1827" w14:textId="77777777" w:rsidR="00DE3723" w:rsidRDefault="00DE3723">
      <w:pPr>
        <w:spacing w:after="40"/>
      </w:pPr>
    </w:p>
    <w:p w14:paraId="74E140DE" w14:textId="77777777" w:rsidR="00DE3723" w:rsidRDefault="00000000">
      <w:pPr>
        <w:spacing w:before="200" w:after="60"/>
      </w:pPr>
      <w:r>
        <w:rPr>
          <w:b/>
          <w:color w:val="445A6F"/>
          <w:sz w:val="22"/>
        </w:rPr>
        <w:t>Abschnitt 2 — ESRS-Standards: Was wird inhaltlich verlangt?</w:t>
      </w:r>
    </w:p>
    <w:p w14:paraId="00828767" w14:textId="77777777" w:rsidR="00DE3723" w:rsidRDefault="00DE3723">
      <w:pPr>
        <w:spacing w:after="40"/>
      </w:pPr>
    </w:p>
    <w:p w14:paraId="2A912C8C" w14:textId="77777777" w:rsidR="00DE3723" w:rsidRDefault="00000000">
      <w:pPr>
        <w:spacing w:before="160" w:after="40"/>
      </w:pPr>
      <w:r>
        <w:rPr>
          <w:b/>
          <w:color w:val="5D6D7E"/>
        </w:rPr>
        <w:t>2.1 — Architektur der ESRS-Standards</w:t>
      </w:r>
    </w:p>
    <w:p w14:paraId="1E66BE32" w14:textId="77777777" w:rsidR="00DE3723" w:rsidRDefault="00DE3723">
      <w:pPr>
        <w:spacing w:after="40"/>
      </w:pPr>
    </w:p>
    <w:p w14:paraId="669B4024" w14:textId="77777777" w:rsidR="00DE3723" w:rsidRDefault="00000000">
      <w:pPr>
        <w:spacing w:after="80"/>
      </w:pPr>
      <w:r>
        <w:t>Die European Sustainability Reporting Standards (ESRS) sind die technischen Standards, die den Inhalt der CSRD-Berichterstattung definieren. Sie wurden von EFRAG entwickelt und durch delegierte EU-Verordnungen verbindlich gemacht.</w:t>
      </w:r>
    </w:p>
    <w:p w14:paraId="6CF8A192" w14:textId="77777777" w:rsidR="00DE3723" w:rsidRDefault="00DE3723">
      <w:pPr>
        <w:spacing w:after="40"/>
      </w:pPr>
    </w:p>
    <w:p w14:paraId="195B4332" w14:textId="77777777" w:rsidR="00DE3723" w:rsidRDefault="00000000">
      <w:pPr>
        <w:spacing w:before="160" w:after="40"/>
      </w:pPr>
      <w:r>
        <w:rPr>
          <w:b/>
          <w:color w:val="2C3E50"/>
          <w:sz w:val="22"/>
        </w:rPr>
        <w:t>ESRS-Struktur:</w:t>
      </w:r>
    </w:p>
    <w:p w14:paraId="5D2D9108" w14:textId="77777777" w:rsidR="00DE3723" w:rsidRDefault="00000000">
      <w:pPr>
        <w:pStyle w:val="Puntoelenco"/>
        <w:spacing w:after="40"/>
      </w:pPr>
      <w:r>
        <w:rPr>
          <w:b/>
          <w:sz w:val="20"/>
        </w:rPr>
        <w:t>ESRS 1</w:t>
      </w:r>
      <w:r>
        <w:rPr>
          <w:sz w:val="20"/>
        </w:rPr>
        <w:t xml:space="preserve"> — Allgemeine Anforderungen (Grundsätze, Doppelte Wesentlichkeit, Darstellungsanforderungen)</w:t>
      </w:r>
    </w:p>
    <w:p w14:paraId="3821BEC4" w14:textId="77777777" w:rsidR="00DE3723" w:rsidRDefault="00000000">
      <w:pPr>
        <w:pStyle w:val="Puntoelenco"/>
        <w:spacing w:after="40"/>
      </w:pPr>
      <w:r>
        <w:rPr>
          <w:b/>
          <w:sz w:val="20"/>
        </w:rPr>
        <w:t>ESRS 2</w:t>
      </w:r>
      <w:r>
        <w:rPr>
          <w:sz w:val="20"/>
        </w:rPr>
        <w:t xml:space="preserve"> — Allgemeine Angaben (Governance, Strategie, Wesentlichkeitsbewertung, Ziele)</w:t>
      </w:r>
    </w:p>
    <w:p w14:paraId="01A03D66" w14:textId="77777777" w:rsidR="00DE3723" w:rsidRDefault="00000000">
      <w:pPr>
        <w:pStyle w:val="Puntoelenco"/>
        <w:spacing w:after="40"/>
      </w:pPr>
      <w:r>
        <w:rPr>
          <w:b/>
          <w:sz w:val="20"/>
        </w:rPr>
        <w:t>ESRS E1</w:t>
      </w:r>
      <w:r>
        <w:rPr>
          <w:sz w:val="20"/>
        </w:rPr>
        <w:t xml:space="preserve"> — Klimawandel </w:t>
      </w:r>
      <w:r>
        <w:rPr>
          <w:i/>
          <w:sz w:val="20"/>
        </w:rPr>
        <w:t>(für Hotels: hochrelevant)</w:t>
      </w:r>
    </w:p>
    <w:p w14:paraId="7B601D83" w14:textId="77777777" w:rsidR="00DE3723" w:rsidRDefault="00000000">
      <w:pPr>
        <w:pStyle w:val="Puntoelenco"/>
        <w:spacing w:after="40"/>
      </w:pPr>
      <w:r>
        <w:rPr>
          <w:b/>
          <w:sz w:val="20"/>
        </w:rPr>
        <w:t>ESRS E2</w:t>
      </w:r>
      <w:r>
        <w:rPr>
          <w:sz w:val="20"/>
        </w:rPr>
        <w:t xml:space="preserve"> — Umweltverschmutzung </w:t>
      </w:r>
      <w:r>
        <w:rPr>
          <w:i/>
          <w:sz w:val="20"/>
        </w:rPr>
        <w:t>(für Hotels: mittel relevant)</w:t>
      </w:r>
    </w:p>
    <w:p w14:paraId="315911EB" w14:textId="77777777" w:rsidR="00DE3723" w:rsidRDefault="00000000">
      <w:pPr>
        <w:pStyle w:val="Puntoelenco"/>
        <w:spacing w:after="40"/>
      </w:pPr>
      <w:r>
        <w:rPr>
          <w:b/>
          <w:sz w:val="20"/>
        </w:rPr>
        <w:t>ESRS E3</w:t>
      </w:r>
      <w:r>
        <w:rPr>
          <w:sz w:val="20"/>
        </w:rPr>
        <w:t xml:space="preserve"> — Wasser und Meeresressourcen </w:t>
      </w:r>
      <w:r>
        <w:rPr>
          <w:i/>
          <w:sz w:val="20"/>
        </w:rPr>
        <w:t>(für Hotels: hochrelevant)</w:t>
      </w:r>
    </w:p>
    <w:p w14:paraId="411135F8" w14:textId="77777777" w:rsidR="00DE3723" w:rsidRDefault="00000000">
      <w:pPr>
        <w:pStyle w:val="Puntoelenco"/>
        <w:spacing w:after="40"/>
      </w:pPr>
      <w:r>
        <w:rPr>
          <w:b/>
          <w:sz w:val="20"/>
        </w:rPr>
        <w:t>ESRS E4</w:t>
      </w:r>
      <w:r>
        <w:rPr>
          <w:sz w:val="20"/>
        </w:rPr>
        <w:t xml:space="preserve"> — Biodiversität und Ökosysteme </w:t>
      </w:r>
      <w:r>
        <w:rPr>
          <w:i/>
          <w:sz w:val="20"/>
        </w:rPr>
        <w:t>(für Hotels: situationsabhängig)</w:t>
      </w:r>
    </w:p>
    <w:p w14:paraId="4C503D84" w14:textId="77777777" w:rsidR="00DE3723" w:rsidRDefault="00000000">
      <w:pPr>
        <w:pStyle w:val="Puntoelenco"/>
        <w:spacing w:after="40"/>
      </w:pPr>
      <w:r>
        <w:rPr>
          <w:b/>
          <w:sz w:val="20"/>
        </w:rPr>
        <w:t>ESRS E5</w:t>
      </w:r>
      <w:r>
        <w:rPr>
          <w:sz w:val="20"/>
        </w:rPr>
        <w:t xml:space="preserve"> — Ressourcennutzung und Kreislaufwirtschaft </w:t>
      </w:r>
      <w:r>
        <w:rPr>
          <w:i/>
          <w:sz w:val="20"/>
        </w:rPr>
        <w:t>(für Hotels: mittel-hoch relevant)</w:t>
      </w:r>
    </w:p>
    <w:p w14:paraId="3D54C34D" w14:textId="77777777" w:rsidR="00DE3723" w:rsidRDefault="00000000">
      <w:pPr>
        <w:pStyle w:val="Puntoelenco"/>
        <w:spacing w:after="40"/>
      </w:pPr>
      <w:r>
        <w:rPr>
          <w:b/>
          <w:sz w:val="20"/>
        </w:rPr>
        <w:t>ESRS S1</w:t>
      </w:r>
      <w:r>
        <w:rPr>
          <w:sz w:val="20"/>
        </w:rPr>
        <w:t xml:space="preserve"> — Eigene Belegschaft </w:t>
      </w:r>
      <w:r>
        <w:rPr>
          <w:i/>
          <w:sz w:val="20"/>
        </w:rPr>
        <w:t>(für Hotels: relevant)</w:t>
      </w:r>
    </w:p>
    <w:p w14:paraId="77D52C59" w14:textId="77777777" w:rsidR="00DE3723" w:rsidRDefault="00000000">
      <w:pPr>
        <w:pStyle w:val="Puntoelenco"/>
        <w:spacing w:after="40"/>
      </w:pPr>
      <w:r>
        <w:rPr>
          <w:b/>
          <w:sz w:val="20"/>
        </w:rPr>
        <w:t>ESRS S2</w:t>
      </w:r>
      <w:r>
        <w:rPr>
          <w:sz w:val="20"/>
        </w:rPr>
        <w:t xml:space="preserve"> — Arbeitnehmer in der Wertschöpfungskette </w:t>
      </w:r>
      <w:r>
        <w:rPr>
          <w:i/>
          <w:sz w:val="20"/>
        </w:rPr>
        <w:t>(für Hotels: mittel relevant)</w:t>
      </w:r>
    </w:p>
    <w:p w14:paraId="48134832" w14:textId="77777777" w:rsidR="00DE3723" w:rsidRDefault="00000000">
      <w:pPr>
        <w:pStyle w:val="Puntoelenco"/>
        <w:spacing w:after="40"/>
      </w:pPr>
      <w:r>
        <w:rPr>
          <w:b/>
          <w:sz w:val="20"/>
        </w:rPr>
        <w:t>ESRS S3</w:t>
      </w:r>
      <w:r>
        <w:rPr>
          <w:sz w:val="20"/>
        </w:rPr>
        <w:t xml:space="preserve"> — Betroffene Gemeinschaften </w:t>
      </w:r>
      <w:r>
        <w:rPr>
          <w:i/>
          <w:sz w:val="20"/>
        </w:rPr>
        <w:t>(für Hotels: situationsabhängig)</w:t>
      </w:r>
    </w:p>
    <w:p w14:paraId="26C5755D" w14:textId="77777777" w:rsidR="00DE3723" w:rsidRDefault="00000000">
      <w:pPr>
        <w:pStyle w:val="Puntoelenco"/>
        <w:spacing w:after="40"/>
      </w:pPr>
      <w:r>
        <w:rPr>
          <w:b/>
          <w:sz w:val="20"/>
        </w:rPr>
        <w:t>ESRS S4</w:t>
      </w:r>
      <w:r>
        <w:rPr>
          <w:sz w:val="20"/>
        </w:rPr>
        <w:t xml:space="preserve"> — Verbraucher und Endnutzer </w:t>
      </w:r>
      <w:r>
        <w:rPr>
          <w:i/>
          <w:sz w:val="20"/>
        </w:rPr>
        <w:t>(für Hotels: mittel relevant)</w:t>
      </w:r>
    </w:p>
    <w:p w14:paraId="00344A67" w14:textId="77777777" w:rsidR="00DE3723" w:rsidRDefault="00000000">
      <w:pPr>
        <w:pStyle w:val="Puntoelenco"/>
        <w:spacing w:after="40"/>
      </w:pPr>
      <w:r>
        <w:rPr>
          <w:b/>
          <w:sz w:val="20"/>
        </w:rPr>
        <w:t>ESRS G1</w:t>
      </w:r>
      <w:r>
        <w:rPr>
          <w:sz w:val="20"/>
        </w:rPr>
        <w:t xml:space="preserve"> — Unternehmensführung </w:t>
      </w:r>
      <w:r>
        <w:rPr>
          <w:i/>
          <w:sz w:val="20"/>
        </w:rPr>
        <w:t>(für Hotels: relevant)</w:t>
      </w:r>
    </w:p>
    <w:p w14:paraId="71170E2F" w14:textId="77777777" w:rsidR="00DE3723" w:rsidRDefault="00DE3723">
      <w:pPr>
        <w:spacing w:after="40"/>
      </w:pPr>
    </w:p>
    <w:p w14:paraId="1C8806D5" w14:textId="77777777" w:rsidR="00DE3723" w:rsidRDefault="00000000">
      <w:pPr>
        <w:spacing w:before="160" w:after="40"/>
      </w:pPr>
      <w:r>
        <w:rPr>
          <w:b/>
          <w:color w:val="5D6D7E"/>
        </w:rPr>
        <w:t>2.2 — ESRS E1 (Klimawandel) — Kernanforderungen für Hotels</w:t>
      </w:r>
    </w:p>
    <w:p w14:paraId="297ACE81" w14:textId="77777777" w:rsidR="00DE3723" w:rsidRDefault="00DE3723">
      <w:pPr>
        <w:spacing w:after="40"/>
      </w:pPr>
    </w:p>
    <w:p w14:paraId="6750FC62" w14:textId="77777777" w:rsidR="00DE3723" w:rsidRDefault="00000000">
      <w:pPr>
        <w:spacing w:after="80"/>
      </w:pPr>
      <w:r>
        <w:t>ESRS E1 ist der für das Gastgewerbe relevanteste Standard. Er fordert:</w:t>
      </w:r>
    </w:p>
    <w:p w14:paraId="28EF2D6B" w14:textId="77777777" w:rsidR="00DE3723" w:rsidRDefault="00DE3723">
      <w:pPr>
        <w:spacing w:after="40"/>
      </w:pPr>
    </w:p>
    <w:p w14:paraId="7AAE3856" w14:textId="77777777" w:rsidR="00DE3723" w:rsidRDefault="00000000">
      <w:pPr>
        <w:spacing w:before="160" w:after="40"/>
      </w:pPr>
      <w:r>
        <w:rPr>
          <w:b/>
          <w:color w:val="2C3E50"/>
          <w:sz w:val="22"/>
        </w:rPr>
        <w:t>Strategie und Geschäftsmodell:</w:t>
      </w:r>
    </w:p>
    <w:p w14:paraId="08B42C9D" w14:textId="77777777" w:rsidR="00DE3723" w:rsidRDefault="00000000">
      <w:pPr>
        <w:pStyle w:val="Puntoelenco"/>
        <w:spacing w:after="40"/>
      </w:pPr>
      <w:r>
        <w:rPr>
          <w:sz w:val="20"/>
        </w:rPr>
        <w:t>Beschreibung, wie der Klimawandel das Geschäftsmodell beeinflusst (physische Risiken + Transitionsrisiken)</w:t>
      </w:r>
    </w:p>
    <w:p w14:paraId="03202FC5" w14:textId="77777777" w:rsidR="00DE3723" w:rsidRDefault="00000000">
      <w:pPr>
        <w:pStyle w:val="Puntoelenco"/>
        <w:spacing w:after="40"/>
      </w:pPr>
      <w:r>
        <w:rPr>
          <w:sz w:val="20"/>
        </w:rPr>
        <w:t>Darstellung der Klimastrategie und des Dekarbonisierungsplans</w:t>
      </w:r>
    </w:p>
    <w:p w14:paraId="04D55CE8" w14:textId="77777777" w:rsidR="00DE3723" w:rsidRDefault="00000000">
      <w:pPr>
        <w:pStyle w:val="Puntoelenco"/>
        <w:spacing w:after="40"/>
      </w:pPr>
      <w:r>
        <w:rPr>
          <w:sz w:val="20"/>
        </w:rPr>
        <w:t>Kohärenz mit dem 1,5°C-Pfad des Pariser Abkommens</w:t>
      </w:r>
    </w:p>
    <w:p w14:paraId="0859D693" w14:textId="77777777" w:rsidR="00DE3723" w:rsidRDefault="00DE3723">
      <w:pPr>
        <w:spacing w:after="40"/>
      </w:pPr>
    </w:p>
    <w:p w14:paraId="798988E6" w14:textId="77777777" w:rsidR="00DE3723" w:rsidRDefault="00000000">
      <w:pPr>
        <w:spacing w:before="160" w:after="40"/>
      </w:pPr>
      <w:r>
        <w:rPr>
          <w:b/>
          <w:color w:val="2C3E50"/>
          <w:sz w:val="22"/>
        </w:rPr>
        <w:lastRenderedPageBreak/>
        <w:t>Ziele:</w:t>
      </w:r>
    </w:p>
    <w:p w14:paraId="2C55E9C1" w14:textId="77777777" w:rsidR="00DE3723" w:rsidRDefault="00000000">
      <w:pPr>
        <w:pStyle w:val="Puntoelenco"/>
        <w:spacing w:after="40"/>
      </w:pPr>
      <w:r>
        <w:rPr>
          <w:sz w:val="20"/>
        </w:rPr>
        <w:t>Absolute THG-Reduktionsziele für Scope 1, 2 und 3</w:t>
      </w:r>
    </w:p>
    <w:p w14:paraId="76F549FB" w14:textId="77777777" w:rsidR="00DE3723" w:rsidRDefault="00000000">
      <w:pPr>
        <w:pStyle w:val="Puntoelenco"/>
        <w:spacing w:after="40"/>
      </w:pPr>
      <w:r>
        <w:rPr>
          <w:sz w:val="20"/>
        </w:rPr>
        <w:t>Zeitgebundene Zwischenziele (typisch 2030 und 2050)</w:t>
      </w:r>
    </w:p>
    <w:p w14:paraId="3B241D37" w14:textId="77777777" w:rsidR="00DE3723" w:rsidRDefault="00000000">
      <w:pPr>
        <w:pStyle w:val="Puntoelenco"/>
        <w:spacing w:after="40"/>
      </w:pPr>
      <w:r>
        <w:rPr>
          <w:sz w:val="20"/>
        </w:rPr>
        <w:t>SBTi-Ausrichtung (Science Based Targets initiative) als Best Practice</w:t>
      </w:r>
    </w:p>
    <w:p w14:paraId="7381AAB5" w14:textId="77777777" w:rsidR="00DE3723" w:rsidRDefault="00DE3723">
      <w:pPr>
        <w:spacing w:after="40"/>
      </w:pPr>
    </w:p>
    <w:p w14:paraId="507ED8E4" w14:textId="77777777" w:rsidR="00DE3723" w:rsidRDefault="00000000">
      <w:pPr>
        <w:spacing w:before="160" w:after="40"/>
      </w:pPr>
      <w:r>
        <w:rPr>
          <w:b/>
          <w:color w:val="2C3E50"/>
          <w:sz w:val="22"/>
        </w:rPr>
        <w:t>Emissionsinventar (Offenlegungspflicht E1-6):</w:t>
      </w:r>
    </w:p>
    <w:p w14:paraId="2D53757A" w14:textId="77777777" w:rsidR="00DE3723" w:rsidRDefault="00000000">
      <w:pPr>
        <w:pStyle w:val="Puntoelenco"/>
        <w:spacing w:after="40"/>
      </w:pPr>
      <w:r>
        <w:rPr>
          <w:sz w:val="20"/>
        </w:rPr>
        <w:t>Scope 1: Direkte Emissionen (Heizung, Fahrzeugflotte, Kältemittel)</w:t>
      </w:r>
    </w:p>
    <w:p w14:paraId="75CE8A35" w14:textId="77777777" w:rsidR="00DE3723" w:rsidRDefault="00000000">
      <w:pPr>
        <w:pStyle w:val="Puntoelenco"/>
        <w:spacing w:after="40"/>
      </w:pPr>
      <w:r>
        <w:rPr>
          <w:sz w:val="20"/>
        </w:rPr>
        <w:t>Scope 2: Indirekte Emissionen aus zugekauftem Strom (location-based und market-based)</w:t>
      </w:r>
    </w:p>
    <w:p w14:paraId="0F98F8A3" w14:textId="77777777" w:rsidR="00DE3723" w:rsidRDefault="00000000">
      <w:pPr>
        <w:pStyle w:val="Puntoelenco"/>
        <w:spacing w:after="40"/>
      </w:pPr>
      <w:r>
        <w:rPr>
          <w:sz w:val="20"/>
        </w:rPr>
        <w:t>Scope 3: Indirekte Emissionen der Wertschöpfungskette — für Hotels typisch 60–80% der Gesamtemissionen</w:t>
      </w:r>
    </w:p>
    <w:p w14:paraId="7A872F8C" w14:textId="77777777" w:rsidR="00DE3723" w:rsidRDefault="00000000">
      <w:pPr>
        <w:pStyle w:val="Puntoelenco"/>
        <w:spacing w:after="40"/>
      </w:pPr>
      <w:r>
        <w:rPr>
          <w:sz w:val="20"/>
        </w:rPr>
        <w:t>Kategorie 1: Eingekaufte Güter und Dienstleistungen (Lebensmittel, Verbrauchsmaterialien)</w:t>
      </w:r>
    </w:p>
    <w:p w14:paraId="2F37FFC0" w14:textId="77777777" w:rsidR="00DE3723" w:rsidRDefault="00000000">
      <w:pPr>
        <w:pStyle w:val="Puntoelenco"/>
        <w:spacing w:after="40"/>
      </w:pPr>
      <w:r>
        <w:rPr>
          <w:sz w:val="20"/>
        </w:rPr>
        <w:t>Kategorie 6: Geschäftsreisen</w:t>
      </w:r>
    </w:p>
    <w:p w14:paraId="125B4630" w14:textId="77777777" w:rsidR="00DE3723" w:rsidRDefault="00000000">
      <w:pPr>
        <w:pStyle w:val="Puntoelenco"/>
        <w:spacing w:after="40"/>
      </w:pPr>
      <w:r>
        <w:rPr>
          <w:sz w:val="20"/>
        </w:rPr>
        <w:t>Kategorie 11: Nutzung verkaufter Produkte (Gästemobilität)</w:t>
      </w:r>
    </w:p>
    <w:p w14:paraId="52A06652" w14:textId="77777777" w:rsidR="00DE3723" w:rsidRDefault="00000000">
      <w:pPr>
        <w:pStyle w:val="Puntoelenco"/>
        <w:spacing w:after="40"/>
      </w:pPr>
      <w:r>
        <w:rPr>
          <w:sz w:val="20"/>
        </w:rPr>
        <w:t>Kategorie 13: Nachgelagerte gemietete Assets</w:t>
      </w:r>
    </w:p>
    <w:p w14:paraId="6E822B2F" w14:textId="77777777" w:rsidR="00DE3723" w:rsidRDefault="00DE3723">
      <w:pPr>
        <w:spacing w:after="40"/>
      </w:pPr>
    </w:p>
    <w:p w14:paraId="12BF8A49" w14:textId="77777777" w:rsidR="00DE3723" w:rsidRDefault="00000000">
      <w:pPr>
        <w:spacing w:before="160" w:after="40"/>
      </w:pPr>
      <w:r>
        <w:rPr>
          <w:b/>
          <w:color w:val="2C3E50"/>
          <w:sz w:val="22"/>
        </w:rPr>
        <w:t>Klimarisiken und -chancen (Offenlegungspflicht E1-9):</w:t>
      </w:r>
    </w:p>
    <w:p w14:paraId="5928CEB0" w14:textId="77777777" w:rsidR="00DE3723" w:rsidRDefault="00000000">
      <w:pPr>
        <w:pStyle w:val="Puntoelenco"/>
        <w:spacing w:after="40"/>
      </w:pPr>
      <w:r>
        <w:rPr>
          <w:sz w:val="20"/>
        </w:rPr>
        <w:t>Physische Risiken: akut (Extremereignisse) und chronisch (Temperaturanstieg, Wasserverfügbarkeit)</w:t>
      </w:r>
    </w:p>
    <w:p w14:paraId="0D8E0A4F" w14:textId="77777777" w:rsidR="00DE3723" w:rsidRDefault="00000000">
      <w:pPr>
        <w:pStyle w:val="Puntoelenco"/>
        <w:spacing w:after="40"/>
      </w:pPr>
      <w:r>
        <w:rPr>
          <w:sz w:val="20"/>
        </w:rPr>
        <w:t>Transitionsrisiken: regulatorisch, marktbezogen, reputationsbezogen</w:t>
      </w:r>
    </w:p>
    <w:p w14:paraId="1D2E4068" w14:textId="77777777" w:rsidR="00DE3723" w:rsidRDefault="00000000">
      <w:pPr>
        <w:pStyle w:val="Puntoelenco"/>
        <w:spacing w:after="40"/>
      </w:pPr>
      <w:r>
        <w:rPr>
          <w:sz w:val="20"/>
        </w:rPr>
        <w:t>Klimachancen: neue Märkte, Effizienzgewinne, Positionierungsvorteile</w:t>
      </w:r>
    </w:p>
    <w:p w14:paraId="1269A91B" w14:textId="77777777" w:rsidR="00DE3723" w:rsidRDefault="00DE3723">
      <w:pPr>
        <w:spacing w:after="40"/>
      </w:pPr>
    </w:p>
    <w:p w14:paraId="7A8923AF" w14:textId="77777777" w:rsidR="00DE3723" w:rsidRDefault="00000000">
      <w:pPr>
        <w:spacing w:before="160" w:after="40"/>
      </w:pPr>
      <w:r>
        <w:rPr>
          <w:b/>
          <w:color w:val="2C3E50"/>
          <w:sz w:val="22"/>
        </w:rPr>
        <w:t>Finanziell materialisierende Risiken:</w:t>
      </w:r>
    </w:p>
    <w:p w14:paraId="7A2AD739" w14:textId="77777777" w:rsidR="00DE3723" w:rsidRDefault="00000000">
      <w:pPr>
        <w:pStyle w:val="Puntoelenco"/>
        <w:spacing w:after="40"/>
      </w:pPr>
      <w:r>
        <w:rPr>
          <w:sz w:val="20"/>
        </w:rPr>
        <w:t>Quantitative Schätzung der finanziellen Auswirkungen wesentlicher Klimarisiken</w:t>
      </w:r>
    </w:p>
    <w:p w14:paraId="588FA037" w14:textId="77777777" w:rsidR="00DE3723" w:rsidRDefault="00000000">
      <w:pPr>
        <w:pStyle w:val="Puntoelenco"/>
        <w:spacing w:after="40"/>
      </w:pPr>
      <w:r>
        <w:rPr>
          <w:sz w:val="20"/>
        </w:rPr>
        <w:t>Anpassungsplanung und -investitionen</w:t>
      </w:r>
    </w:p>
    <w:p w14:paraId="19023739" w14:textId="77777777" w:rsidR="00DE3723" w:rsidRDefault="00DE3723">
      <w:pPr>
        <w:spacing w:after="40"/>
      </w:pPr>
    </w:p>
    <w:p w14:paraId="050D4600" w14:textId="77777777" w:rsidR="00DE3723" w:rsidRDefault="00000000">
      <w:pPr>
        <w:spacing w:before="160" w:after="40"/>
      </w:pPr>
      <w:r>
        <w:rPr>
          <w:b/>
          <w:color w:val="5D6D7E"/>
        </w:rPr>
        <w:t>2.3 — ESRS E3 (Wasser) — Kernanforderungen für Hotels</w:t>
      </w:r>
    </w:p>
    <w:p w14:paraId="69431BA1" w14:textId="77777777" w:rsidR="00DE3723" w:rsidRDefault="00DE3723">
      <w:pPr>
        <w:spacing w:after="40"/>
      </w:pPr>
    </w:p>
    <w:p w14:paraId="4E87E114" w14:textId="77777777" w:rsidR="00DE3723" w:rsidRDefault="00000000">
      <w:pPr>
        <w:spacing w:after="80"/>
      </w:pPr>
      <w:r>
        <w:t>Wasser ist eine strukturelle Dimension des Hotelprodukts. ESRS E3 fordert:</w:t>
      </w:r>
    </w:p>
    <w:p w14:paraId="4DD2A431" w14:textId="77777777" w:rsidR="00DE3723" w:rsidRDefault="00DE3723">
      <w:pPr>
        <w:spacing w:after="40"/>
      </w:pPr>
    </w:p>
    <w:p w14:paraId="24F1C32B" w14:textId="77777777" w:rsidR="00DE3723" w:rsidRDefault="00000000">
      <w:pPr>
        <w:pStyle w:val="Puntoelenco"/>
        <w:spacing w:after="40"/>
      </w:pPr>
      <w:r>
        <w:rPr>
          <w:sz w:val="20"/>
        </w:rPr>
        <w:t>Wasserverbrauch gesamt und nach Entnahmequelle</w:t>
      </w:r>
    </w:p>
    <w:p w14:paraId="69D91A84" w14:textId="77777777" w:rsidR="00DE3723" w:rsidRDefault="00000000">
      <w:pPr>
        <w:pStyle w:val="Puntoelenco"/>
        <w:spacing w:after="40"/>
      </w:pPr>
      <w:r>
        <w:rPr>
          <w:sz w:val="20"/>
        </w:rPr>
        <w:t>Wasserintensität (m³ pro belegtes Zimmer als sektorspezifischer KPI)</w:t>
      </w:r>
    </w:p>
    <w:p w14:paraId="48DB283F" w14:textId="77777777" w:rsidR="00DE3723" w:rsidRDefault="00000000">
      <w:pPr>
        <w:pStyle w:val="Puntoelenco"/>
        <w:spacing w:after="40"/>
      </w:pPr>
      <w:r>
        <w:rPr>
          <w:sz w:val="20"/>
        </w:rPr>
        <w:t>Wasserrisiko-Assessment nach Einzugsgebiet (Verweis auf WRI Aqueduct oder äquivalente Methodik)</w:t>
      </w:r>
    </w:p>
    <w:p w14:paraId="1AA3E11D" w14:textId="77777777" w:rsidR="00DE3723" w:rsidRDefault="00000000">
      <w:pPr>
        <w:pStyle w:val="Puntoelenco"/>
        <w:spacing w:after="40"/>
      </w:pPr>
      <w:r>
        <w:rPr>
          <w:sz w:val="20"/>
        </w:rPr>
        <w:t>Wasserabgabe: Menge, Qualität, Destination</w:t>
      </w:r>
    </w:p>
    <w:p w14:paraId="1BFFE26A" w14:textId="77777777" w:rsidR="00DE3723" w:rsidRDefault="00000000">
      <w:pPr>
        <w:pStyle w:val="Puntoelenco"/>
        <w:spacing w:after="40"/>
      </w:pPr>
      <w:r>
        <w:rPr>
          <w:sz w:val="20"/>
        </w:rPr>
        <w:t>Ziele zur Wasserreduktion und Water Stewardship</w:t>
      </w:r>
    </w:p>
    <w:p w14:paraId="429DBDEC" w14:textId="77777777" w:rsidR="00DE3723" w:rsidRDefault="00DE3723">
      <w:pPr>
        <w:spacing w:after="40"/>
      </w:pPr>
    </w:p>
    <w:p w14:paraId="388BD02A" w14:textId="77777777" w:rsidR="00DE3723" w:rsidRDefault="00000000">
      <w:pPr>
        <w:spacing w:before="160" w:after="40"/>
      </w:pPr>
      <w:r>
        <w:rPr>
          <w:b/>
          <w:color w:val="5D6D7E"/>
        </w:rPr>
        <w:t>2.4 — ESRS E5 (Kreislaufwirtschaft) — Kernanforderungen für Hotels</w:t>
      </w:r>
    </w:p>
    <w:p w14:paraId="66BDB565" w14:textId="77777777" w:rsidR="00DE3723" w:rsidRDefault="00DE3723">
      <w:pPr>
        <w:spacing w:after="40"/>
      </w:pPr>
    </w:p>
    <w:p w14:paraId="16E4D13D" w14:textId="77777777" w:rsidR="00DE3723" w:rsidRDefault="00000000">
      <w:pPr>
        <w:pStyle w:val="Puntoelenco"/>
        <w:spacing w:after="40"/>
      </w:pPr>
      <w:r>
        <w:rPr>
          <w:sz w:val="20"/>
        </w:rPr>
        <w:t>Abfallproduktion nach Kategorie und Entsorgungsweg</w:t>
      </w:r>
    </w:p>
    <w:p w14:paraId="633BDA10" w14:textId="77777777" w:rsidR="00DE3723" w:rsidRDefault="00000000">
      <w:pPr>
        <w:pStyle w:val="Puntoelenco"/>
        <w:spacing w:after="40"/>
      </w:pPr>
      <w:r>
        <w:rPr>
          <w:sz w:val="20"/>
        </w:rPr>
        <w:t>Kreislaufmaßnahmen: Vermeidung, Wiederverwendung, Recycling</w:t>
      </w:r>
    </w:p>
    <w:p w14:paraId="0A298DE7" w14:textId="77777777" w:rsidR="00DE3723" w:rsidRDefault="00000000">
      <w:pPr>
        <w:pStyle w:val="Puntoelenco"/>
        <w:spacing w:after="40"/>
      </w:pPr>
      <w:r>
        <w:rPr>
          <w:sz w:val="20"/>
        </w:rPr>
        <w:t>Abhängigkeit von nicht-erneuerbaren Ressourcen in der Lieferkette</w:t>
      </w:r>
    </w:p>
    <w:p w14:paraId="77359495" w14:textId="77777777" w:rsidR="00DE3723" w:rsidRDefault="00000000">
      <w:pPr>
        <w:pStyle w:val="Puntoelenco"/>
        <w:spacing w:after="40"/>
      </w:pPr>
      <w:r>
        <w:rPr>
          <w:sz w:val="20"/>
        </w:rPr>
        <w:t>Ziele zur Abfallreduktion</w:t>
      </w:r>
    </w:p>
    <w:p w14:paraId="5D9204C6" w14:textId="77777777" w:rsidR="00DE3723" w:rsidRDefault="00DE3723">
      <w:pPr>
        <w:spacing w:after="40"/>
      </w:pPr>
    </w:p>
    <w:p w14:paraId="45CE0874" w14:textId="77777777" w:rsidR="00DE3723" w:rsidRDefault="00000000">
      <w:pPr>
        <w:spacing w:before="160" w:after="160"/>
      </w:pPr>
      <w:r>
        <w:rPr>
          <w:color w:val="CCCCCC"/>
          <w:sz w:val="16"/>
        </w:rPr>
        <w:t>────────────────────────────────────────────────────────────────────────────────</w:t>
      </w:r>
    </w:p>
    <w:p w14:paraId="0C2732E5" w14:textId="77777777" w:rsidR="00DE3723" w:rsidRDefault="00DE3723">
      <w:pPr>
        <w:spacing w:after="40"/>
      </w:pPr>
    </w:p>
    <w:p w14:paraId="56D82C1E" w14:textId="77777777" w:rsidR="00DE3723" w:rsidRDefault="00000000">
      <w:pPr>
        <w:spacing w:before="200" w:after="60"/>
      </w:pPr>
      <w:r>
        <w:rPr>
          <w:b/>
          <w:color w:val="445A6F"/>
          <w:sz w:val="22"/>
        </w:rPr>
        <w:t>Abschnitt 3 — Doppelte Wesentlichkeit: Das methodische Kernkonzept</w:t>
      </w:r>
    </w:p>
    <w:p w14:paraId="3E216C31" w14:textId="77777777" w:rsidR="00DE3723" w:rsidRDefault="00DE3723">
      <w:pPr>
        <w:spacing w:after="40"/>
      </w:pPr>
    </w:p>
    <w:p w14:paraId="23405FDB" w14:textId="77777777" w:rsidR="00DE3723" w:rsidRDefault="00000000">
      <w:pPr>
        <w:spacing w:before="160" w:after="40"/>
      </w:pPr>
      <w:r>
        <w:rPr>
          <w:b/>
          <w:color w:val="5D6D7E"/>
        </w:rPr>
        <w:t>3.1 — Was doppelte Wesentlichkeit bedeutet</w:t>
      </w:r>
    </w:p>
    <w:p w14:paraId="77AA160B" w14:textId="77777777" w:rsidR="00DE3723" w:rsidRDefault="00DE3723">
      <w:pPr>
        <w:spacing w:after="40"/>
      </w:pPr>
    </w:p>
    <w:p w14:paraId="531C9AC2" w14:textId="77777777" w:rsidR="00DE3723" w:rsidRDefault="00000000">
      <w:pPr>
        <w:spacing w:after="80"/>
      </w:pPr>
      <w:r>
        <w:t xml:space="preserve">Die CSRD führt das Konzept der </w:t>
      </w:r>
      <w:r>
        <w:rPr>
          <w:i/>
        </w:rPr>
        <w:t>doppelten Wesentlichkeit</w:t>
      </w:r>
      <w:r>
        <w:t xml:space="preserve"> als Grundlage für die Berichterstattung ein. Es unterscheidet sich fundamental vom traditionellen Wesentlichkeitsbegriff der Finanzberichterstattung.</w:t>
      </w:r>
    </w:p>
    <w:p w14:paraId="0B69DA93" w14:textId="77777777" w:rsidR="00DE3723" w:rsidRDefault="00DE3723">
      <w:pPr>
        <w:spacing w:after="40"/>
      </w:pPr>
    </w:p>
    <w:p w14:paraId="76F2E190" w14:textId="77777777" w:rsidR="00DE3723" w:rsidRDefault="00000000">
      <w:pPr>
        <w:spacing w:before="160" w:after="40"/>
      </w:pPr>
      <w:r>
        <w:rPr>
          <w:b/>
          <w:color w:val="2C3E50"/>
          <w:sz w:val="22"/>
        </w:rPr>
        <w:t>Finanzielle Wesentlichkeit (Inside-out):</w:t>
      </w:r>
    </w:p>
    <w:p w14:paraId="5EC438F0" w14:textId="77777777" w:rsidR="00DE3723" w:rsidRDefault="00000000">
      <w:pPr>
        <w:spacing w:after="80"/>
      </w:pPr>
      <w:r>
        <w:t>Wie wirken Nachhaltigkeitsthemen auf die finanzielle Lage des Unternehmens? (Risiken, Chancen, Kosten, Erträge)</w:t>
      </w:r>
    </w:p>
    <w:p w14:paraId="28C9311F" w14:textId="77777777" w:rsidR="00DE3723" w:rsidRDefault="00DE3723">
      <w:pPr>
        <w:spacing w:after="40"/>
      </w:pPr>
    </w:p>
    <w:p w14:paraId="496E353F" w14:textId="77777777" w:rsidR="00DE3723" w:rsidRDefault="00000000">
      <w:pPr>
        <w:spacing w:before="160" w:after="40"/>
      </w:pPr>
      <w:r>
        <w:rPr>
          <w:b/>
          <w:color w:val="2C3E50"/>
          <w:sz w:val="22"/>
        </w:rPr>
        <w:t>Auswirkungswesentlichkeit (Outside-in):</w:t>
      </w:r>
    </w:p>
    <w:p w14:paraId="23FD9A90" w14:textId="77777777" w:rsidR="00DE3723" w:rsidRDefault="00000000">
      <w:pPr>
        <w:spacing w:after="80"/>
      </w:pPr>
      <w:r>
        <w:t>Wie wirkt das Unternehmen auf Umwelt und Gesellschaft? (positive und negative Auswirkungen, tatsächliche und potenzielle)</w:t>
      </w:r>
    </w:p>
    <w:p w14:paraId="531F56A3" w14:textId="77777777" w:rsidR="00DE3723" w:rsidRDefault="00DE3723">
      <w:pPr>
        <w:spacing w:after="40"/>
      </w:pPr>
    </w:p>
    <w:p w14:paraId="744B7A43" w14:textId="77777777" w:rsidR="00DE3723" w:rsidRDefault="00000000">
      <w:pPr>
        <w:spacing w:after="80"/>
      </w:pPr>
      <w:r>
        <w:rPr>
          <w:b/>
        </w:rPr>
        <w:t>Doppelt wesentlich</w:t>
      </w:r>
      <w:r>
        <w:t xml:space="preserve"> = Ein Thema, das in mindestens einer der beiden Perspektiven wesentlich ist, muss berichtet werden.</w:t>
      </w:r>
    </w:p>
    <w:p w14:paraId="0E9E4E62" w14:textId="77777777" w:rsidR="00DE3723" w:rsidRDefault="00DE3723">
      <w:pPr>
        <w:spacing w:after="40"/>
      </w:pPr>
    </w:p>
    <w:p w14:paraId="6A31CAC2" w14:textId="77777777" w:rsidR="00DE3723" w:rsidRDefault="00000000">
      <w:pPr>
        <w:spacing w:before="160" w:after="40"/>
      </w:pPr>
      <w:r>
        <w:rPr>
          <w:b/>
          <w:color w:val="5D6D7E"/>
        </w:rPr>
        <w:t>3.2 — Anwendung auf das Gastgewerbe DACH</w:t>
      </w:r>
    </w:p>
    <w:p w14:paraId="133C676B" w14:textId="77777777" w:rsidR="00DE3723" w:rsidRDefault="00DE3723">
      <w:pPr>
        <w:spacing w:after="40"/>
      </w:pPr>
    </w:p>
    <w:p w14:paraId="0F583FC7" w14:textId="77777777" w:rsidR="00DE3723" w:rsidRDefault="00000000">
      <w:pPr>
        <w:spacing w:after="80"/>
      </w:pPr>
      <w:r>
        <w:t>Für ein typisches DACH-Hotelunternehmen ergibt die Doppelte-Wesentlichkeits-Analyse folgendes Bild:</w:t>
      </w:r>
    </w:p>
    <w:p w14:paraId="479368D8" w14:textId="77777777" w:rsidR="00DE3723" w:rsidRDefault="00DE3723">
      <w:pPr>
        <w:spacing w:after="40"/>
      </w:pPr>
    </w:p>
    <w:tbl>
      <w:tblPr>
        <w:tblStyle w:val="Grigliatabella"/>
        <w:tblW w:w="0" w:type="auto"/>
        <w:jc w:val="center"/>
        <w:tblLook w:val="04A0" w:firstRow="1" w:lastRow="0" w:firstColumn="1" w:lastColumn="0" w:noHBand="0" w:noVBand="1"/>
      </w:tblPr>
      <w:tblGrid>
        <w:gridCol w:w="2119"/>
        <w:gridCol w:w="2280"/>
        <w:gridCol w:w="2780"/>
        <w:gridCol w:w="2217"/>
      </w:tblGrid>
      <w:tr w:rsidR="00DE3723" w14:paraId="419DB639" w14:textId="77777777">
        <w:trPr>
          <w:jc w:val="center"/>
        </w:trPr>
        <w:tc>
          <w:tcPr>
            <w:tcW w:w="2351" w:type="dxa"/>
            <w:shd w:val="clear" w:color="auto" w:fill="2C3E50"/>
          </w:tcPr>
          <w:p w14:paraId="7D29FF1B" w14:textId="77777777" w:rsidR="00DE3723" w:rsidRDefault="00000000">
            <w:r>
              <w:rPr>
                <w:b/>
                <w:color w:val="FFFFFF"/>
                <w:sz w:val="18"/>
              </w:rPr>
              <w:t>Thema</w:t>
            </w:r>
          </w:p>
        </w:tc>
        <w:tc>
          <w:tcPr>
            <w:tcW w:w="2351" w:type="dxa"/>
            <w:shd w:val="clear" w:color="auto" w:fill="2C3E50"/>
          </w:tcPr>
          <w:p w14:paraId="4F2CAA71" w14:textId="77777777" w:rsidR="00DE3723" w:rsidRDefault="00000000">
            <w:r>
              <w:rPr>
                <w:b/>
                <w:color w:val="FFFFFF"/>
                <w:sz w:val="18"/>
              </w:rPr>
              <w:t>Finanzielle Wesentlichkeit</w:t>
            </w:r>
          </w:p>
        </w:tc>
        <w:tc>
          <w:tcPr>
            <w:tcW w:w="2351" w:type="dxa"/>
            <w:shd w:val="clear" w:color="auto" w:fill="2C3E50"/>
          </w:tcPr>
          <w:p w14:paraId="7F937FCC" w14:textId="77777777" w:rsidR="00DE3723" w:rsidRDefault="00000000">
            <w:r>
              <w:rPr>
                <w:b/>
                <w:color w:val="FFFFFF"/>
                <w:sz w:val="18"/>
              </w:rPr>
              <w:t>Auswirkungswesentlichkeit</w:t>
            </w:r>
          </w:p>
        </w:tc>
        <w:tc>
          <w:tcPr>
            <w:tcW w:w="2351" w:type="dxa"/>
            <w:shd w:val="clear" w:color="auto" w:fill="2C3E50"/>
          </w:tcPr>
          <w:p w14:paraId="589AB1A4" w14:textId="77777777" w:rsidR="00DE3723" w:rsidRDefault="00000000">
            <w:r>
              <w:rPr>
                <w:b/>
                <w:color w:val="FFFFFF"/>
                <w:sz w:val="18"/>
              </w:rPr>
              <w:t>DACH-spezifische Faktoren</w:t>
            </w:r>
          </w:p>
        </w:tc>
      </w:tr>
      <w:tr w:rsidR="00DE3723" w14:paraId="7AA37B4D" w14:textId="77777777">
        <w:trPr>
          <w:jc w:val="center"/>
        </w:trPr>
        <w:tc>
          <w:tcPr>
            <w:tcW w:w="2351" w:type="dxa"/>
          </w:tcPr>
          <w:p w14:paraId="5A6473C9" w14:textId="77777777" w:rsidR="00DE3723" w:rsidRDefault="00000000">
            <w:r>
              <w:rPr>
                <w:sz w:val="18"/>
              </w:rPr>
              <w:t>Klimawandel (E1)</w:t>
            </w:r>
          </w:p>
        </w:tc>
        <w:tc>
          <w:tcPr>
            <w:tcW w:w="2351" w:type="dxa"/>
          </w:tcPr>
          <w:p w14:paraId="5ABAC002" w14:textId="77777777" w:rsidR="00DE3723" w:rsidRDefault="00000000">
            <w:r>
              <w:rPr>
                <w:sz w:val="18"/>
              </w:rPr>
              <w:t>Hoch — Energiekosten, Regulierung, physische Risiken</w:t>
            </w:r>
          </w:p>
        </w:tc>
        <w:tc>
          <w:tcPr>
            <w:tcW w:w="2351" w:type="dxa"/>
          </w:tcPr>
          <w:p w14:paraId="4964EC56" w14:textId="77777777" w:rsidR="00DE3723" w:rsidRDefault="00000000">
            <w:r>
              <w:rPr>
                <w:sz w:val="18"/>
              </w:rPr>
              <w:t>Hoch — THG-Emissionen Scope 1+2+3</w:t>
            </w:r>
          </w:p>
        </w:tc>
        <w:tc>
          <w:tcPr>
            <w:tcW w:w="2351" w:type="dxa"/>
          </w:tcPr>
          <w:p w14:paraId="3FCB7064" w14:textId="77777777" w:rsidR="00DE3723" w:rsidRDefault="00000000">
            <w:r>
              <w:rPr>
                <w:sz w:val="18"/>
              </w:rPr>
              <w:t>BEHG, GEG, CO₂-Abgabe CH, Alpen-Permafrost</w:t>
            </w:r>
          </w:p>
        </w:tc>
      </w:tr>
      <w:tr w:rsidR="00DE3723" w14:paraId="0927937A" w14:textId="77777777">
        <w:trPr>
          <w:jc w:val="center"/>
        </w:trPr>
        <w:tc>
          <w:tcPr>
            <w:tcW w:w="2351" w:type="dxa"/>
            <w:shd w:val="clear" w:color="auto" w:fill="F8F9FA"/>
          </w:tcPr>
          <w:p w14:paraId="6CBE240B" w14:textId="77777777" w:rsidR="00DE3723" w:rsidRDefault="00000000">
            <w:r>
              <w:rPr>
                <w:sz w:val="18"/>
              </w:rPr>
              <w:t>Wasser (E3)</w:t>
            </w:r>
          </w:p>
        </w:tc>
        <w:tc>
          <w:tcPr>
            <w:tcW w:w="2351" w:type="dxa"/>
            <w:shd w:val="clear" w:color="auto" w:fill="F8F9FA"/>
          </w:tcPr>
          <w:p w14:paraId="5579A990" w14:textId="77777777" w:rsidR="00DE3723" w:rsidRDefault="00000000">
            <w:r>
              <w:rPr>
                <w:sz w:val="18"/>
              </w:rPr>
              <w:t>Mittel-Hoch — Wasserkosten, Rationierungsrisiken</w:t>
            </w:r>
          </w:p>
        </w:tc>
        <w:tc>
          <w:tcPr>
            <w:tcW w:w="2351" w:type="dxa"/>
            <w:shd w:val="clear" w:color="auto" w:fill="F8F9FA"/>
          </w:tcPr>
          <w:p w14:paraId="376AE4FC" w14:textId="77777777" w:rsidR="00DE3723" w:rsidRDefault="00000000">
            <w:r>
              <w:rPr>
                <w:sz w:val="18"/>
              </w:rPr>
              <w:t>Hoch — Wasserentnahme in Stressgebieten</w:t>
            </w:r>
          </w:p>
        </w:tc>
        <w:tc>
          <w:tcPr>
            <w:tcW w:w="2351" w:type="dxa"/>
            <w:shd w:val="clear" w:color="auto" w:fill="F8F9FA"/>
          </w:tcPr>
          <w:p w14:paraId="1ADF7210" w14:textId="77777777" w:rsidR="00DE3723" w:rsidRDefault="00000000">
            <w:r>
              <w:rPr>
                <w:sz w:val="18"/>
              </w:rPr>
              <w:t>Badegewässerqualität, alpine Wasserressourcen</w:t>
            </w:r>
          </w:p>
        </w:tc>
      </w:tr>
      <w:tr w:rsidR="00DE3723" w14:paraId="77EF4C4D" w14:textId="77777777">
        <w:trPr>
          <w:jc w:val="center"/>
        </w:trPr>
        <w:tc>
          <w:tcPr>
            <w:tcW w:w="2351" w:type="dxa"/>
          </w:tcPr>
          <w:p w14:paraId="4E51639F" w14:textId="77777777" w:rsidR="00DE3723" w:rsidRDefault="00000000">
            <w:r>
              <w:rPr>
                <w:sz w:val="18"/>
              </w:rPr>
              <w:t>Kreislaufwirtschaft (E5)</w:t>
            </w:r>
          </w:p>
        </w:tc>
        <w:tc>
          <w:tcPr>
            <w:tcW w:w="2351" w:type="dxa"/>
          </w:tcPr>
          <w:p w14:paraId="23679C5C" w14:textId="77777777" w:rsidR="00DE3723" w:rsidRDefault="00000000">
            <w:r>
              <w:rPr>
                <w:sz w:val="18"/>
              </w:rPr>
              <w:t>Mittel — Entsorgungskosten, Lieferkettenrisiken</w:t>
            </w:r>
          </w:p>
        </w:tc>
        <w:tc>
          <w:tcPr>
            <w:tcW w:w="2351" w:type="dxa"/>
          </w:tcPr>
          <w:p w14:paraId="58E647D8" w14:textId="77777777" w:rsidR="00DE3723" w:rsidRDefault="00000000">
            <w:r>
              <w:rPr>
                <w:sz w:val="18"/>
              </w:rPr>
              <w:t>Hoch — Abfallproduktion, Verpackung</w:t>
            </w:r>
          </w:p>
        </w:tc>
        <w:tc>
          <w:tcPr>
            <w:tcW w:w="2351" w:type="dxa"/>
          </w:tcPr>
          <w:p w14:paraId="155EFBD1" w14:textId="77777777" w:rsidR="00DE3723" w:rsidRDefault="00000000">
            <w:r>
              <w:rPr>
                <w:sz w:val="18"/>
              </w:rPr>
              <w:t>AWG AT, KrWG DE, SUP-Verbote</w:t>
            </w:r>
          </w:p>
        </w:tc>
      </w:tr>
      <w:tr w:rsidR="00DE3723" w14:paraId="1006CBB9" w14:textId="77777777">
        <w:trPr>
          <w:jc w:val="center"/>
        </w:trPr>
        <w:tc>
          <w:tcPr>
            <w:tcW w:w="2351" w:type="dxa"/>
            <w:shd w:val="clear" w:color="auto" w:fill="F8F9FA"/>
          </w:tcPr>
          <w:p w14:paraId="324F1BD6" w14:textId="77777777" w:rsidR="00DE3723" w:rsidRDefault="00000000">
            <w:r>
              <w:rPr>
                <w:sz w:val="18"/>
              </w:rPr>
              <w:t>Eigene Belegschaft (S1)</w:t>
            </w:r>
          </w:p>
        </w:tc>
        <w:tc>
          <w:tcPr>
            <w:tcW w:w="2351" w:type="dxa"/>
            <w:shd w:val="clear" w:color="auto" w:fill="F8F9FA"/>
          </w:tcPr>
          <w:p w14:paraId="1FEBAFF2" w14:textId="77777777" w:rsidR="00DE3723" w:rsidRDefault="00000000">
            <w:r>
              <w:rPr>
                <w:sz w:val="18"/>
              </w:rPr>
              <w:t>Hoch — Fachkräftemangel, Fluktuation, Löhne</w:t>
            </w:r>
          </w:p>
        </w:tc>
        <w:tc>
          <w:tcPr>
            <w:tcW w:w="2351" w:type="dxa"/>
            <w:shd w:val="clear" w:color="auto" w:fill="F8F9FA"/>
          </w:tcPr>
          <w:p w14:paraId="2FC98A2B" w14:textId="77777777" w:rsidR="00DE3723" w:rsidRDefault="00000000">
            <w:r>
              <w:rPr>
                <w:sz w:val="18"/>
              </w:rPr>
              <w:t>Hoch — Arbeitsbedingungen, Mindestlohn</w:t>
            </w:r>
          </w:p>
        </w:tc>
        <w:tc>
          <w:tcPr>
            <w:tcW w:w="2351" w:type="dxa"/>
            <w:shd w:val="clear" w:color="auto" w:fill="F8F9FA"/>
          </w:tcPr>
          <w:p w14:paraId="61C65063" w14:textId="77777777" w:rsidR="00DE3723" w:rsidRDefault="00000000">
            <w:r>
              <w:rPr>
                <w:sz w:val="18"/>
              </w:rPr>
              <w:t>MiLoG DE, Kollektivverträge AT/CH</w:t>
            </w:r>
          </w:p>
        </w:tc>
      </w:tr>
      <w:tr w:rsidR="00DE3723" w14:paraId="4BFE5CD7" w14:textId="77777777">
        <w:trPr>
          <w:jc w:val="center"/>
        </w:trPr>
        <w:tc>
          <w:tcPr>
            <w:tcW w:w="2351" w:type="dxa"/>
          </w:tcPr>
          <w:p w14:paraId="6FC21EF1" w14:textId="77777777" w:rsidR="00DE3723" w:rsidRDefault="00000000">
            <w:r>
              <w:rPr>
                <w:sz w:val="18"/>
              </w:rPr>
              <w:lastRenderedPageBreak/>
              <w:t>Lieferkette (S2)</w:t>
            </w:r>
          </w:p>
        </w:tc>
        <w:tc>
          <w:tcPr>
            <w:tcW w:w="2351" w:type="dxa"/>
          </w:tcPr>
          <w:p w14:paraId="052A003C" w14:textId="77777777" w:rsidR="00DE3723" w:rsidRDefault="00000000">
            <w:r>
              <w:rPr>
                <w:sz w:val="18"/>
              </w:rPr>
              <w:t>Mittel — LkSG-Risiken, Lieferantenabhängigkeit</w:t>
            </w:r>
          </w:p>
        </w:tc>
        <w:tc>
          <w:tcPr>
            <w:tcW w:w="2351" w:type="dxa"/>
          </w:tcPr>
          <w:p w14:paraId="3757BADD" w14:textId="77777777" w:rsidR="00DE3723" w:rsidRDefault="00000000">
            <w:r>
              <w:rPr>
                <w:sz w:val="18"/>
              </w:rPr>
              <w:t>Mittel-Hoch — Arbeitsbedingungen Lieferanten</w:t>
            </w:r>
          </w:p>
        </w:tc>
        <w:tc>
          <w:tcPr>
            <w:tcW w:w="2351" w:type="dxa"/>
          </w:tcPr>
          <w:p w14:paraId="3BA88B8C" w14:textId="77777777" w:rsidR="00DE3723" w:rsidRDefault="00000000">
            <w:r>
              <w:rPr>
                <w:sz w:val="18"/>
              </w:rPr>
              <w:t>LkSG DE ab 1.000 MA, CSDDD</w:t>
            </w:r>
          </w:p>
        </w:tc>
      </w:tr>
      <w:tr w:rsidR="00DE3723" w14:paraId="42F33259" w14:textId="77777777">
        <w:trPr>
          <w:jc w:val="center"/>
        </w:trPr>
        <w:tc>
          <w:tcPr>
            <w:tcW w:w="2351" w:type="dxa"/>
            <w:shd w:val="clear" w:color="auto" w:fill="F8F9FA"/>
          </w:tcPr>
          <w:p w14:paraId="783C7BEB" w14:textId="77777777" w:rsidR="00DE3723" w:rsidRDefault="00000000">
            <w:r>
              <w:rPr>
                <w:sz w:val="18"/>
              </w:rPr>
              <w:t>Governance (G1)</w:t>
            </w:r>
          </w:p>
        </w:tc>
        <w:tc>
          <w:tcPr>
            <w:tcW w:w="2351" w:type="dxa"/>
            <w:shd w:val="clear" w:color="auto" w:fill="F8F9FA"/>
          </w:tcPr>
          <w:p w14:paraId="436AE214" w14:textId="77777777" w:rsidR="00DE3723" w:rsidRDefault="00000000">
            <w:r>
              <w:rPr>
                <w:sz w:val="18"/>
              </w:rPr>
              <w:t>Hoch — Compliance, Reputationsrisiken</w:t>
            </w:r>
          </w:p>
        </w:tc>
        <w:tc>
          <w:tcPr>
            <w:tcW w:w="2351" w:type="dxa"/>
            <w:shd w:val="clear" w:color="auto" w:fill="F8F9FA"/>
          </w:tcPr>
          <w:p w14:paraId="766FEEE8" w14:textId="77777777" w:rsidR="00DE3723" w:rsidRDefault="00000000">
            <w:r>
              <w:rPr>
                <w:sz w:val="18"/>
              </w:rPr>
              <w:t>Mittel</w:t>
            </w:r>
          </w:p>
        </w:tc>
        <w:tc>
          <w:tcPr>
            <w:tcW w:w="2351" w:type="dxa"/>
            <w:shd w:val="clear" w:color="auto" w:fill="F8F9FA"/>
          </w:tcPr>
          <w:p w14:paraId="3F2D2BB9" w14:textId="77777777" w:rsidR="00DE3723" w:rsidRDefault="00000000">
            <w:r>
              <w:rPr>
                <w:sz w:val="18"/>
              </w:rPr>
              <w:t>DACH-Gesellschaftsrecht, Antikorruption</w:t>
            </w:r>
          </w:p>
        </w:tc>
      </w:tr>
    </w:tbl>
    <w:p w14:paraId="06DF4785" w14:textId="77777777" w:rsidR="00DE3723" w:rsidRDefault="00DE3723"/>
    <w:p w14:paraId="3EC75BDC" w14:textId="77777777" w:rsidR="00DE3723" w:rsidRDefault="00DE3723">
      <w:pPr>
        <w:spacing w:after="40"/>
      </w:pPr>
    </w:p>
    <w:p w14:paraId="011BD6A6" w14:textId="77777777" w:rsidR="00DE3723" w:rsidRDefault="00000000">
      <w:pPr>
        <w:spacing w:before="160" w:after="160"/>
      </w:pPr>
      <w:r>
        <w:rPr>
          <w:color w:val="CCCCCC"/>
          <w:sz w:val="16"/>
        </w:rPr>
        <w:t>────────────────────────────────────────────────────────────────────────────────</w:t>
      </w:r>
    </w:p>
    <w:p w14:paraId="24065BF9" w14:textId="77777777" w:rsidR="00DE3723" w:rsidRDefault="00DE3723">
      <w:pPr>
        <w:spacing w:after="40"/>
      </w:pPr>
    </w:p>
    <w:p w14:paraId="230325BE" w14:textId="77777777" w:rsidR="00DE3723" w:rsidRDefault="00000000">
      <w:pPr>
        <w:spacing w:before="200" w:after="60"/>
      </w:pPr>
      <w:r>
        <w:rPr>
          <w:b/>
          <w:color w:val="445A6F"/>
          <w:sz w:val="22"/>
        </w:rPr>
        <w:t>Abschnitt 4 — Cascade-Mechanismus: Wie CSRD Hotels auch ohne Direktpflicht betrifft</w:t>
      </w:r>
    </w:p>
    <w:p w14:paraId="4ACBB789" w14:textId="77777777" w:rsidR="00DE3723" w:rsidRDefault="00DE3723">
      <w:pPr>
        <w:spacing w:after="40"/>
      </w:pPr>
    </w:p>
    <w:p w14:paraId="044CEC3C" w14:textId="77777777" w:rsidR="00DE3723" w:rsidRDefault="00000000">
      <w:pPr>
        <w:spacing w:before="160" w:after="40"/>
      </w:pPr>
      <w:r>
        <w:rPr>
          <w:b/>
          <w:color w:val="5D6D7E"/>
        </w:rPr>
        <w:t>4.1 — Der Cascade-Mechanismus erklärt</w:t>
      </w:r>
    </w:p>
    <w:p w14:paraId="160F7358" w14:textId="77777777" w:rsidR="00DE3723" w:rsidRDefault="00DE3723">
      <w:pPr>
        <w:spacing w:after="40"/>
      </w:pPr>
    </w:p>
    <w:p w14:paraId="69C8BDA0" w14:textId="77777777" w:rsidR="00DE3723" w:rsidRDefault="00000000">
      <w:pPr>
        <w:spacing w:after="80"/>
      </w:pPr>
      <w:r>
        <w:t>Der Cascade-Mechanismus ist der wichtigste Grund, warum DACH-Hotels die CSRD-Anforderungen kennen müssen — auch wenn sie nicht direkt berichtspflichtig sind.</w:t>
      </w:r>
    </w:p>
    <w:p w14:paraId="551F87FA" w14:textId="77777777" w:rsidR="00DE3723" w:rsidRDefault="00DE3723">
      <w:pPr>
        <w:spacing w:after="40"/>
      </w:pPr>
    </w:p>
    <w:p w14:paraId="35B06E64" w14:textId="77777777" w:rsidR="00DE3723" w:rsidRDefault="00000000">
      <w:pPr>
        <w:spacing w:after="80"/>
      </w:pPr>
      <w:r>
        <w:rPr>
          <w:b/>
        </w:rPr>
        <w:t>Mechanismus:</w:t>
      </w:r>
      <w:r>
        <w:t xml:space="preserve"> CSRD-pflichtige Unternehmen müssen in ihrem Bericht die Scope-3-Emissionen ihrer gesamten Wertschöpfungskette offenlegen. Das Hotel als Lieferant von Beherbergungs- und Tagungsdienstleistungen ist Teil dieser Wertschöpfungskette. Der CSRD-pflichtige Unternehmenskunde wird vom Hotel zunehmend Nachhaltigkeitsdaten anfordern — weil er sie für seinen eigenen Bericht benötigt.</w:t>
      </w:r>
    </w:p>
    <w:p w14:paraId="4C87D3BC" w14:textId="77777777" w:rsidR="00DE3723" w:rsidRDefault="00DE3723">
      <w:pPr>
        <w:spacing w:after="40"/>
      </w:pPr>
    </w:p>
    <w:p w14:paraId="11D2B23C" w14:textId="77777777" w:rsidR="00DE3723" w:rsidRDefault="00000000">
      <w:pPr>
        <w:spacing w:after="80"/>
      </w:pPr>
      <w:r>
        <w:rPr>
          <w:b/>
        </w:rPr>
        <w:t>LkSG-Cascade (Deutschland):</w:t>
      </w:r>
      <w:r>
        <w:t xml:space="preserve"> Das Lieferkettensorgfaltspflichtengesetz (LkSG) verpflichtet Unternehmen ab 1.000 Mitarbeitern (seit Januar 2024), Sorgfaltspflichten in der gesamten Lieferkette wahrzunehmen. Hotels als Dienstleister von BMW, Siemens, SAP, Allianz, Deutsche Bank sind Teil dieser Lieferkette — und erhalten zunehmend strukturierte ESG-Fragebögen als Vertragsvoraussetzung.</w:t>
      </w:r>
    </w:p>
    <w:p w14:paraId="5B0C6097" w14:textId="77777777" w:rsidR="00DE3723" w:rsidRDefault="00DE3723">
      <w:pPr>
        <w:spacing w:after="40"/>
      </w:pPr>
    </w:p>
    <w:p w14:paraId="04E274EC" w14:textId="77777777" w:rsidR="00DE3723" w:rsidRDefault="00000000">
      <w:pPr>
        <w:spacing w:after="80"/>
      </w:pPr>
      <w:r>
        <w:rPr>
          <w:b/>
        </w:rPr>
        <w:t>CSDDD-Cascade (EU 2024):</w:t>
      </w:r>
      <w:r>
        <w:t xml:space="preserve"> Die Corporate Sustainability Due Diligence Directive (Richtlinie 2024/1760/EU) erweitert den LkSG-ähnlichen Ansatz auf europäischer Ebene. Die nationale Umsetzung in Deutschland, Österreich und — indirekt — der Schweiz wird den Cascade-Effekt weiter verstärken.</w:t>
      </w:r>
    </w:p>
    <w:p w14:paraId="7EAC4311" w14:textId="77777777" w:rsidR="00DE3723" w:rsidRDefault="00DE3723">
      <w:pPr>
        <w:spacing w:after="40"/>
      </w:pPr>
    </w:p>
    <w:p w14:paraId="3195F25D" w14:textId="77777777" w:rsidR="00DE3723" w:rsidRDefault="00000000">
      <w:pPr>
        <w:spacing w:before="160" w:after="40"/>
      </w:pPr>
      <w:r>
        <w:rPr>
          <w:b/>
          <w:color w:val="5D6D7E"/>
        </w:rPr>
        <w:t>4.2 — Praktische Implikationen für DACH-Hotels</w:t>
      </w:r>
    </w:p>
    <w:p w14:paraId="607FB81E" w14:textId="77777777" w:rsidR="00DE3723" w:rsidRDefault="00DE3723">
      <w:pPr>
        <w:spacing w:after="40"/>
      </w:pPr>
    </w:p>
    <w:p w14:paraId="1EC74B0A" w14:textId="77777777" w:rsidR="00DE3723" w:rsidRDefault="00000000">
      <w:pPr>
        <w:spacing w:before="160" w:after="40"/>
      </w:pPr>
      <w:r>
        <w:rPr>
          <w:b/>
          <w:color w:val="2C3E50"/>
          <w:sz w:val="22"/>
        </w:rPr>
        <w:t>Was Corporate-Kunden konkret verlangen (Stand 2026):</w:t>
      </w:r>
    </w:p>
    <w:p w14:paraId="5E9686F0" w14:textId="77777777" w:rsidR="00DE3723" w:rsidRDefault="00DE3723">
      <w:pPr>
        <w:spacing w:after="40"/>
      </w:pPr>
    </w:p>
    <w:p w14:paraId="4FC389E4" w14:textId="77777777" w:rsidR="00DE3723" w:rsidRDefault="00000000">
      <w:pPr>
        <w:pStyle w:val="Puntoelenco"/>
        <w:spacing w:after="40"/>
      </w:pPr>
      <w:r>
        <w:rPr>
          <w:sz w:val="20"/>
        </w:rPr>
        <w:lastRenderedPageBreak/>
        <w:t xml:space="preserve">ESG-Fragebogen als RFP-Voraussetzung: Anteil der DACH-Corporate-Kunden, die einen strukturierten ESG-Fragebogen als Vertragsvoraussetzung verlangen: </w:t>
      </w:r>
      <w:r>
        <w:rPr>
          <w:i/>
          <w:sz w:val="20"/>
        </w:rPr>
        <w:t>[aktuellen Wert auf der Plattform verifizieren — ca. 60–75% der Großunternehmen]</w:t>
      </w:r>
    </w:p>
    <w:p w14:paraId="1B8DCE77" w14:textId="77777777" w:rsidR="00DE3723" w:rsidRDefault="00000000">
      <w:pPr>
        <w:pStyle w:val="Puntoelenco"/>
        <w:spacing w:after="40"/>
      </w:pPr>
      <w:r>
        <w:rPr>
          <w:sz w:val="20"/>
        </w:rPr>
        <w:t>Scope-3-Emissionsdaten: Hotels werden gebeten, die Emissionen pro Gästenacht (tCO₂e/Übernachtung) nach HCMI-Methodik oder äquivalent bereitzustellen</w:t>
      </w:r>
    </w:p>
    <w:p w14:paraId="2A366E85" w14:textId="77777777" w:rsidR="00DE3723" w:rsidRDefault="00000000">
      <w:pPr>
        <w:pStyle w:val="Puntoelenco"/>
        <w:spacing w:after="40"/>
      </w:pPr>
      <w:r>
        <w:rPr>
          <w:sz w:val="20"/>
        </w:rPr>
        <w:t>ISO-14001-Zertifizierung: Zunehmend als Mindestanforderung, nicht mehr als Differenzierungsmerkmal</w:t>
      </w:r>
    </w:p>
    <w:p w14:paraId="053A9C24" w14:textId="77777777" w:rsidR="00DE3723" w:rsidRDefault="00000000">
      <w:pPr>
        <w:pStyle w:val="Puntoelenco"/>
        <w:spacing w:after="40"/>
      </w:pPr>
      <w:r>
        <w:rPr>
          <w:sz w:val="20"/>
        </w:rPr>
        <w:t>Nachhaltigkeitsbericht: Strukturierter Bericht nach GRI oder äquivalentem Framework wird von großen Corporate-Kunden erwartet</w:t>
      </w:r>
    </w:p>
    <w:p w14:paraId="3484D0EB" w14:textId="77777777" w:rsidR="00DE3723" w:rsidRDefault="00000000">
      <w:pPr>
        <w:pStyle w:val="Puntoelenco"/>
        <w:spacing w:after="40"/>
      </w:pPr>
      <w:r>
        <w:rPr>
          <w:sz w:val="20"/>
        </w:rPr>
        <w:t xml:space="preserve">Audit-Recht: Anteil der Corporate-Verträge mit Audit-Recht auf ESG-Praktiken des Hotels: </w:t>
      </w:r>
      <w:r>
        <w:rPr>
          <w:i/>
          <w:sz w:val="20"/>
        </w:rPr>
        <w:t>[aktuellen Wert verifizieren]</w:t>
      </w:r>
    </w:p>
    <w:p w14:paraId="664F97EB" w14:textId="77777777" w:rsidR="00DE3723" w:rsidRDefault="00DE3723">
      <w:pPr>
        <w:spacing w:after="40"/>
      </w:pPr>
    </w:p>
    <w:p w14:paraId="1683F654" w14:textId="77777777" w:rsidR="00DE3723" w:rsidRDefault="00000000">
      <w:pPr>
        <w:spacing w:before="160" w:after="40"/>
      </w:pPr>
      <w:r>
        <w:rPr>
          <w:b/>
          <w:color w:val="2C3E50"/>
          <w:sz w:val="22"/>
        </w:rPr>
        <w:t>Konsequenz für das Hotel-Umweltmanagementsystem:</w:t>
      </w:r>
    </w:p>
    <w:p w14:paraId="5F8DB3D4" w14:textId="77777777" w:rsidR="00DE3723" w:rsidRDefault="00000000">
      <w:pPr>
        <w:spacing w:after="80"/>
      </w:pPr>
      <w:r>
        <w:t>Das ISO-14001:2026-System muss so aufgebaut sein, dass es die Daten produzieren kann, die der Corporate-Kunde für seinen eigenen CSRD-Bericht benötigt. Daten-Governance (ISO 14001:2026 Abschnitt 7.5 gestärkt) ist die technische Voraussetzung dafür.</w:t>
      </w:r>
    </w:p>
    <w:p w14:paraId="5A38B883" w14:textId="77777777" w:rsidR="00DE3723" w:rsidRDefault="00DE3723">
      <w:pPr>
        <w:spacing w:after="40"/>
      </w:pPr>
    </w:p>
    <w:p w14:paraId="4D0B5407" w14:textId="77777777" w:rsidR="00DE3723" w:rsidRDefault="00000000">
      <w:pPr>
        <w:spacing w:before="160" w:after="160"/>
      </w:pPr>
      <w:r>
        <w:rPr>
          <w:color w:val="CCCCCC"/>
          <w:sz w:val="16"/>
        </w:rPr>
        <w:t>────────────────────────────────────────────────────────────────────────────────</w:t>
      </w:r>
    </w:p>
    <w:p w14:paraId="46A37399" w14:textId="77777777" w:rsidR="00DE3723" w:rsidRDefault="00DE3723">
      <w:pPr>
        <w:spacing w:after="40"/>
      </w:pPr>
    </w:p>
    <w:p w14:paraId="0796935F" w14:textId="77777777" w:rsidR="00DE3723" w:rsidRDefault="00000000">
      <w:pPr>
        <w:spacing w:before="200" w:after="60"/>
      </w:pPr>
      <w:r>
        <w:rPr>
          <w:b/>
          <w:color w:val="445A6F"/>
          <w:sz w:val="22"/>
        </w:rPr>
        <w:t>Abschnitt 5 — EU-Taxonomie: Relevanz für das DACH-Gastgewerbe</w:t>
      </w:r>
    </w:p>
    <w:p w14:paraId="36A04E5F" w14:textId="77777777" w:rsidR="00DE3723" w:rsidRDefault="00DE3723">
      <w:pPr>
        <w:spacing w:after="40"/>
      </w:pPr>
    </w:p>
    <w:p w14:paraId="3EEB6874" w14:textId="77777777" w:rsidR="00DE3723" w:rsidRDefault="00000000">
      <w:pPr>
        <w:spacing w:after="80"/>
      </w:pPr>
      <w:r>
        <w:rPr>
          <w:i/>
        </w:rPr>
        <w:t>(Vollständige Darstellung in Dokument 2 dieses Materialpakets — siehe unten)</w:t>
      </w:r>
    </w:p>
    <w:p w14:paraId="68131117" w14:textId="77777777" w:rsidR="00DE3723" w:rsidRDefault="00DE3723">
      <w:pPr>
        <w:spacing w:after="40"/>
      </w:pPr>
    </w:p>
    <w:p w14:paraId="3E838F39" w14:textId="77777777" w:rsidR="00DE3723" w:rsidRDefault="00000000">
      <w:pPr>
        <w:spacing w:after="80"/>
      </w:pPr>
      <w:r>
        <w:t>Die EU-Taxonomie-Verordnung (2020/852/EU) definiert sechs Umweltziele und legt fest, welche wirtschaftlichen Aktivitäten als ökologisch nachhaltig klassifiziert werden können. Für das Gastgewerbe ist die Taxonomie primär relevant für:</w:t>
      </w:r>
    </w:p>
    <w:p w14:paraId="581A5ED0" w14:textId="77777777" w:rsidR="00DE3723" w:rsidRDefault="00DE3723">
      <w:pPr>
        <w:spacing w:after="40"/>
      </w:pPr>
    </w:p>
    <w:p w14:paraId="06B43AFE" w14:textId="77777777" w:rsidR="00DE3723" w:rsidRDefault="00000000">
      <w:pPr>
        <w:pStyle w:val="Puntoelenco"/>
        <w:spacing w:after="40"/>
      </w:pPr>
      <w:r>
        <w:rPr>
          <w:sz w:val="20"/>
        </w:rPr>
        <w:t>Finanzierungszugang: Banken und Investoren, die taxonomiekonforme Finanzierungsprodukte anbieten (KfW, Raiffeisen, UBS, Zürcher Kantonalbank ESG-Darlehen), verlangen Taxonomie-Konformitätsnachweis</w:t>
      </w:r>
    </w:p>
    <w:p w14:paraId="4B47C531" w14:textId="77777777" w:rsidR="00DE3723" w:rsidRDefault="00000000">
      <w:pPr>
        <w:pStyle w:val="Puntoelenco"/>
        <w:spacing w:after="40"/>
      </w:pPr>
      <w:r>
        <w:rPr>
          <w:sz w:val="20"/>
        </w:rPr>
        <w:t>CSRD-Berichterstattung: CSRD-pflichtige Hotelunternehmen müssen den Anteil taxonomiekonformer Aktivitäten offenlegen</w:t>
      </w:r>
    </w:p>
    <w:p w14:paraId="1B64B501" w14:textId="77777777" w:rsidR="00DE3723" w:rsidRDefault="00DE3723">
      <w:pPr>
        <w:spacing w:after="40"/>
      </w:pPr>
    </w:p>
    <w:p w14:paraId="0180B6CB" w14:textId="77777777" w:rsidR="00DE3723" w:rsidRDefault="00000000">
      <w:pPr>
        <w:spacing w:before="160" w:after="160"/>
      </w:pPr>
      <w:r>
        <w:rPr>
          <w:color w:val="CCCCCC"/>
          <w:sz w:val="16"/>
        </w:rPr>
        <w:t>────────────────────────────────────────────────────────────────────────────────</w:t>
      </w:r>
    </w:p>
    <w:p w14:paraId="41F12B8A" w14:textId="77777777" w:rsidR="00DE3723" w:rsidRDefault="00DE3723">
      <w:pPr>
        <w:spacing w:after="40"/>
      </w:pPr>
    </w:p>
    <w:p w14:paraId="5C2023E6" w14:textId="77777777" w:rsidR="00DE3723" w:rsidRDefault="00000000">
      <w:pPr>
        <w:spacing w:before="200" w:after="60"/>
      </w:pPr>
      <w:r>
        <w:rPr>
          <w:b/>
          <w:color w:val="445A6F"/>
          <w:sz w:val="22"/>
        </w:rPr>
        <w:t>Abschnitt 6 — Periodische normative Aktualisierungen</w:t>
      </w:r>
    </w:p>
    <w:p w14:paraId="580E20E5" w14:textId="77777777" w:rsidR="00DE3723" w:rsidRDefault="00DE3723">
      <w:pPr>
        <w:spacing w:after="40"/>
      </w:pPr>
    </w:p>
    <w:p w14:paraId="3110D213" w14:textId="77777777" w:rsidR="00DE3723" w:rsidRDefault="00000000">
      <w:pPr>
        <w:spacing w:before="160" w:after="40"/>
      </w:pPr>
      <w:r>
        <w:rPr>
          <w:b/>
          <w:color w:val="5D6D7E"/>
        </w:rPr>
        <w:t>6.1 — Monitoring-Kalender CSRD/ESRS</w:t>
      </w:r>
    </w:p>
    <w:p w14:paraId="6D57F76B" w14:textId="77777777" w:rsidR="00DE3723" w:rsidRDefault="00DE3723">
      <w:pPr>
        <w:spacing w:after="40"/>
      </w:pPr>
    </w:p>
    <w:p w14:paraId="62BBBFE0" w14:textId="77777777" w:rsidR="00DE3723" w:rsidRDefault="00000000">
      <w:pPr>
        <w:spacing w:after="80"/>
      </w:pPr>
      <w:r>
        <w:lastRenderedPageBreak/>
        <w:t>Die Plattform überwacht kontinuierlich folgende Quellen und aktualisiert dieses Dokument bei wesentlichen Entwicklungen:</w:t>
      </w:r>
    </w:p>
    <w:p w14:paraId="57BCE5E4" w14:textId="77777777" w:rsidR="00DE3723" w:rsidRDefault="00DE3723">
      <w:pPr>
        <w:spacing w:after="40"/>
      </w:pPr>
    </w:p>
    <w:tbl>
      <w:tblPr>
        <w:tblStyle w:val="Grigliatabella"/>
        <w:tblW w:w="0" w:type="auto"/>
        <w:jc w:val="center"/>
        <w:tblLook w:val="04A0" w:firstRow="1" w:lastRow="0" w:firstColumn="1" w:lastColumn="0" w:noHBand="0" w:noVBand="1"/>
      </w:tblPr>
      <w:tblGrid>
        <w:gridCol w:w="3132"/>
        <w:gridCol w:w="3133"/>
        <w:gridCol w:w="3131"/>
      </w:tblGrid>
      <w:tr w:rsidR="00DE3723" w14:paraId="715AA333" w14:textId="77777777">
        <w:trPr>
          <w:jc w:val="center"/>
        </w:trPr>
        <w:tc>
          <w:tcPr>
            <w:tcW w:w="3135" w:type="dxa"/>
            <w:shd w:val="clear" w:color="auto" w:fill="2C3E50"/>
          </w:tcPr>
          <w:p w14:paraId="04CC3CCA" w14:textId="77777777" w:rsidR="00DE3723" w:rsidRDefault="00000000">
            <w:r>
              <w:rPr>
                <w:b/>
                <w:color w:val="FFFFFF"/>
                <w:sz w:val="18"/>
              </w:rPr>
              <w:t>Quelle</w:t>
            </w:r>
          </w:p>
        </w:tc>
        <w:tc>
          <w:tcPr>
            <w:tcW w:w="3135" w:type="dxa"/>
            <w:shd w:val="clear" w:color="auto" w:fill="2C3E50"/>
          </w:tcPr>
          <w:p w14:paraId="2A44C682" w14:textId="77777777" w:rsidR="00DE3723" w:rsidRDefault="00000000">
            <w:r>
              <w:rPr>
                <w:b/>
                <w:color w:val="FFFFFF"/>
                <w:sz w:val="18"/>
              </w:rPr>
              <w:t>Überwachungsfrequenz</w:t>
            </w:r>
          </w:p>
        </w:tc>
        <w:tc>
          <w:tcPr>
            <w:tcW w:w="3135" w:type="dxa"/>
            <w:shd w:val="clear" w:color="auto" w:fill="2C3E50"/>
          </w:tcPr>
          <w:p w14:paraId="2B803AC0" w14:textId="77777777" w:rsidR="00DE3723" w:rsidRDefault="00000000">
            <w:r>
              <w:rPr>
                <w:b/>
                <w:color w:val="FFFFFF"/>
                <w:sz w:val="18"/>
              </w:rPr>
              <w:t>URL</w:t>
            </w:r>
          </w:p>
        </w:tc>
      </w:tr>
      <w:tr w:rsidR="00DE3723" w14:paraId="331E58E9" w14:textId="77777777">
        <w:trPr>
          <w:jc w:val="center"/>
        </w:trPr>
        <w:tc>
          <w:tcPr>
            <w:tcW w:w="3135" w:type="dxa"/>
          </w:tcPr>
          <w:p w14:paraId="3D33D85C" w14:textId="77777777" w:rsidR="00DE3723" w:rsidRDefault="00000000">
            <w:r>
              <w:rPr>
                <w:sz w:val="18"/>
              </w:rPr>
              <w:t>EUR-Lex — CSRD-Umsetzung</w:t>
            </w:r>
          </w:p>
        </w:tc>
        <w:tc>
          <w:tcPr>
            <w:tcW w:w="3135" w:type="dxa"/>
          </w:tcPr>
          <w:p w14:paraId="09000C94" w14:textId="77777777" w:rsidR="00DE3723" w:rsidRDefault="00000000">
            <w:r>
              <w:rPr>
                <w:sz w:val="18"/>
              </w:rPr>
              <w:t>Monatlich</w:t>
            </w:r>
          </w:p>
        </w:tc>
        <w:tc>
          <w:tcPr>
            <w:tcW w:w="3135" w:type="dxa"/>
          </w:tcPr>
          <w:p w14:paraId="61EF445C" w14:textId="77777777" w:rsidR="00DE3723" w:rsidRDefault="00000000">
            <w:r>
              <w:rPr>
                <w:sz w:val="18"/>
              </w:rPr>
              <w:t>eur-lex.europa.eu</w:t>
            </w:r>
          </w:p>
        </w:tc>
      </w:tr>
      <w:tr w:rsidR="00DE3723" w14:paraId="74E80383" w14:textId="77777777">
        <w:trPr>
          <w:jc w:val="center"/>
        </w:trPr>
        <w:tc>
          <w:tcPr>
            <w:tcW w:w="3135" w:type="dxa"/>
            <w:shd w:val="clear" w:color="auto" w:fill="F8F9FA"/>
          </w:tcPr>
          <w:p w14:paraId="2E45B42B" w14:textId="77777777" w:rsidR="00DE3723" w:rsidRDefault="00000000">
            <w:r>
              <w:rPr>
                <w:sz w:val="18"/>
              </w:rPr>
              <w:t>EFRAG — ESRS-Guidance</w:t>
            </w:r>
          </w:p>
        </w:tc>
        <w:tc>
          <w:tcPr>
            <w:tcW w:w="3135" w:type="dxa"/>
            <w:shd w:val="clear" w:color="auto" w:fill="F8F9FA"/>
          </w:tcPr>
          <w:p w14:paraId="431DA113" w14:textId="77777777" w:rsidR="00DE3723" w:rsidRDefault="00000000">
            <w:r>
              <w:rPr>
                <w:sz w:val="18"/>
              </w:rPr>
              <w:t>Bei Veröffentlichung</w:t>
            </w:r>
          </w:p>
        </w:tc>
        <w:tc>
          <w:tcPr>
            <w:tcW w:w="3135" w:type="dxa"/>
            <w:shd w:val="clear" w:color="auto" w:fill="F8F9FA"/>
          </w:tcPr>
          <w:p w14:paraId="62B92C5E" w14:textId="77777777" w:rsidR="00DE3723" w:rsidRDefault="00000000">
            <w:r>
              <w:rPr>
                <w:sz w:val="18"/>
              </w:rPr>
              <w:t>efrag.org/esrs</w:t>
            </w:r>
          </w:p>
        </w:tc>
      </w:tr>
      <w:tr w:rsidR="00DE3723" w14:paraId="3906ED1D" w14:textId="77777777">
        <w:trPr>
          <w:jc w:val="center"/>
        </w:trPr>
        <w:tc>
          <w:tcPr>
            <w:tcW w:w="3135" w:type="dxa"/>
          </w:tcPr>
          <w:p w14:paraId="03DBB1FA" w14:textId="77777777" w:rsidR="00DE3723" w:rsidRDefault="00000000">
            <w:r>
              <w:rPr>
                <w:sz w:val="18"/>
              </w:rPr>
              <w:t>BMJ Deutschland — HGB-Änderungen</w:t>
            </w:r>
          </w:p>
        </w:tc>
        <w:tc>
          <w:tcPr>
            <w:tcW w:w="3135" w:type="dxa"/>
          </w:tcPr>
          <w:p w14:paraId="1E478130" w14:textId="77777777" w:rsidR="00DE3723" w:rsidRDefault="00000000">
            <w:r>
              <w:rPr>
                <w:sz w:val="18"/>
              </w:rPr>
              <w:t>Bei Veröffentlichung</w:t>
            </w:r>
          </w:p>
        </w:tc>
        <w:tc>
          <w:tcPr>
            <w:tcW w:w="3135" w:type="dxa"/>
          </w:tcPr>
          <w:p w14:paraId="3833DF36" w14:textId="77777777" w:rsidR="00DE3723" w:rsidRDefault="00000000">
            <w:r>
              <w:rPr>
                <w:sz w:val="18"/>
              </w:rPr>
              <w:t>bmj.de</w:t>
            </w:r>
          </w:p>
        </w:tc>
      </w:tr>
      <w:tr w:rsidR="00DE3723" w14:paraId="32EA830F" w14:textId="77777777">
        <w:trPr>
          <w:jc w:val="center"/>
        </w:trPr>
        <w:tc>
          <w:tcPr>
            <w:tcW w:w="3135" w:type="dxa"/>
            <w:shd w:val="clear" w:color="auto" w:fill="F8F9FA"/>
          </w:tcPr>
          <w:p w14:paraId="59C34AD9" w14:textId="77777777" w:rsidR="00DE3723" w:rsidRDefault="00000000">
            <w:r>
              <w:rPr>
                <w:sz w:val="18"/>
              </w:rPr>
              <w:t>BMF Österreich — NBeG</w:t>
            </w:r>
          </w:p>
        </w:tc>
        <w:tc>
          <w:tcPr>
            <w:tcW w:w="3135" w:type="dxa"/>
            <w:shd w:val="clear" w:color="auto" w:fill="F8F9FA"/>
          </w:tcPr>
          <w:p w14:paraId="341B5474" w14:textId="77777777" w:rsidR="00DE3723" w:rsidRDefault="00000000">
            <w:r>
              <w:rPr>
                <w:sz w:val="18"/>
              </w:rPr>
              <w:t>Bei Veröffentlichung</w:t>
            </w:r>
          </w:p>
        </w:tc>
        <w:tc>
          <w:tcPr>
            <w:tcW w:w="3135" w:type="dxa"/>
            <w:shd w:val="clear" w:color="auto" w:fill="F8F9FA"/>
          </w:tcPr>
          <w:p w14:paraId="1783B604" w14:textId="77777777" w:rsidR="00DE3723" w:rsidRDefault="00000000">
            <w:r>
              <w:rPr>
                <w:sz w:val="18"/>
              </w:rPr>
              <w:t>bmf.gv.at</w:t>
            </w:r>
          </w:p>
        </w:tc>
      </w:tr>
      <w:tr w:rsidR="00DE3723" w14:paraId="7DCA41D1" w14:textId="77777777">
        <w:trPr>
          <w:jc w:val="center"/>
        </w:trPr>
        <w:tc>
          <w:tcPr>
            <w:tcW w:w="3135" w:type="dxa"/>
          </w:tcPr>
          <w:p w14:paraId="69B2947D" w14:textId="77777777" w:rsidR="00DE3723" w:rsidRDefault="00000000">
            <w:r>
              <w:rPr>
                <w:sz w:val="18"/>
              </w:rPr>
              <w:t>FINMA Schweiz</w:t>
            </w:r>
          </w:p>
        </w:tc>
        <w:tc>
          <w:tcPr>
            <w:tcW w:w="3135" w:type="dxa"/>
          </w:tcPr>
          <w:p w14:paraId="02F7688A" w14:textId="77777777" w:rsidR="00DE3723" w:rsidRDefault="00000000">
            <w:r>
              <w:rPr>
                <w:sz w:val="18"/>
              </w:rPr>
              <w:t>Bei Veröffentlichung</w:t>
            </w:r>
          </w:p>
        </w:tc>
        <w:tc>
          <w:tcPr>
            <w:tcW w:w="3135" w:type="dxa"/>
          </w:tcPr>
          <w:p w14:paraId="6872238A" w14:textId="77777777" w:rsidR="00DE3723" w:rsidRDefault="00000000">
            <w:r>
              <w:rPr>
                <w:sz w:val="18"/>
              </w:rPr>
              <w:t>finma.ch</w:t>
            </w:r>
          </w:p>
        </w:tc>
      </w:tr>
      <w:tr w:rsidR="00DE3723" w14:paraId="44127725" w14:textId="77777777">
        <w:trPr>
          <w:jc w:val="center"/>
        </w:trPr>
        <w:tc>
          <w:tcPr>
            <w:tcW w:w="3135" w:type="dxa"/>
            <w:shd w:val="clear" w:color="auto" w:fill="F8F9FA"/>
          </w:tcPr>
          <w:p w14:paraId="534BFA37" w14:textId="77777777" w:rsidR="00DE3723" w:rsidRDefault="00000000">
            <w:r>
              <w:rPr>
                <w:sz w:val="18"/>
              </w:rPr>
              <w:t>DEHOGA — Branchenkommunikation</w:t>
            </w:r>
          </w:p>
        </w:tc>
        <w:tc>
          <w:tcPr>
            <w:tcW w:w="3135" w:type="dxa"/>
            <w:shd w:val="clear" w:color="auto" w:fill="F8F9FA"/>
          </w:tcPr>
          <w:p w14:paraId="24CB0399" w14:textId="77777777" w:rsidR="00DE3723" w:rsidRDefault="00000000">
            <w:r>
              <w:rPr>
                <w:sz w:val="18"/>
              </w:rPr>
              <w:t>Monatlich</w:t>
            </w:r>
          </w:p>
        </w:tc>
        <w:tc>
          <w:tcPr>
            <w:tcW w:w="3135" w:type="dxa"/>
            <w:shd w:val="clear" w:color="auto" w:fill="F8F9FA"/>
          </w:tcPr>
          <w:p w14:paraId="1B55C27A" w14:textId="77777777" w:rsidR="00DE3723" w:rsidRDefault="00000000">
            <w:r>
              <w:rPr>
                <w:sz w:val="18"/>
              </w:rPr>
              <w:t>dehoga.de</w:t>
            </w:r>
          </w:p>
        </w:tc>
      </w:tr>
      <w:tr w:rsidR="00DE3723" w14:paraId="579AB2E3" w14:textId="77777777">
        <w:trPr>
          <w:jc w:val="center"/>
        </w:trPr>
        <w:tc>
          <w:tcPr>
            <w:tcW w:w="3135" w:type="dxa"/>
          </w:tcPr>
          <w:p w14:paraId="1371A275" w14:textId="77777777" w:rsidR="00DE3723" w:rsidRDefault="00000000">
            <w:r>
              <w:rPr>
                <w:sz w:val="18"/>
              </w:rPr>
              <w:t>ÖHV — Branchenkommunikation</w:t>
            </w:r>
          </w:p>
        </w:tc>
        <w:tc>
          <w:tcPr>
            <w:tcW w:w="3135" w:type="dxa"/>
          </w:tcPr>
          <w:p w14:paraId="09721815" w14:textId="77777777" w:rsidR="00DE3723" w:rsidRDefault="00000000">
            <w:r>
              <w:rPr>
                <w:sz w:val="18"/>
              </w:rPr>
              <w:t>Monatlich</w:t>
            </w:r>
          </w:p>
        </w:tc>
        <w:tc>
          <w:tcPr>
            <w:tcW w:w="3135" w:type="dxa"/>
          </w:tcPr>
          <w:p w14:paraId="79128C3B" w14:textId="77777777" w:rsidR="00DE3723" w:rsidRDefault="00000000">
            <w:r>
              <w:rPr>
                <w:sz w:val="18"/>
              </w:rPr>
              <w:t>oehv.at</w:t>
            </w:r>
          </w:p>
        </w:tc>
      </w:tr>
      <w:tr w:rsidR="00DE3723" w14:paraId="32CB7249" w14:textId="77777777">
        <w:trPr>
          <w:jc w:val="center"/>
        </w:trPr>
        <w:tc>
          <w:tcPr>
            <w:tcW w:w="3135" w:type="dxa"/>
            <w:shd w:val="clear" w:color="auto" w:fill="F8F9FA"/>
          </w:tcPr>
          <w:p w14:paraId="64CD8741" w14:textId="77777777" w:rsidR="00DE3723" w:rsidRDefault="00000000">
            <w:r>
              <w:rPr>
                <w:sz w:val="18"/>
              </w:rPr>
              <w:t>hotelleriesuisse</w:t>
            </w:r>
          </w:p>
        </w:tc>
        <w:tc>
          <w:tcPr>
            <w:tcW w:w="3135" w:type="dxa"/>
            <w:shd w:val="clear" w:color="auto" w:fill="F8F9FA"/>
          </w:tcPr>
          <w:p w14:paraId="3BCAABD2" w14:textId="77777777" w:rsidR="00DE3723" w:rsidRDefault="00000000">
            <w:r>
              <w:rPr>
                <w:sz w:val="18"/>
              </w:rPr>
              <w:t>Monatlich</w:t>
            </w:r>
          </w:p>
        </w:tc>
        <w:tc>
          <w:tcPr>
            <w:tcW w:w="3135" w:type="dxa"/>
            <w:shd w:val="clear" w:color="auto" w:fill="F8F9FA"/>
          </w:tcPr>
          <w:p w14:paraId="692E5DA5" w14:textId="77777777" w:rsidR="00DE3723" w:rsidRDefault="00000000">
            <w:r>
              <w:rPr>
                <w:sz w:val="18"/>
              </w:rPr>
              <w:t>hotelleriesuisse.ch</w:t>
            </w:r>
          </w:p>
        </w:tc>
      </w:tr>
    </w:tbl>
    <w:p w14:paraId="41EC3136" w14:textId="77777777" w:rsidR="00DE3723" w:rsidRDefault="00DE3723"/>
    <w:p w14:paraId="1D28C487" w14:textId="77777777" w:rsidR="00DE3723" w:rsidRDefault="00DE3723">
      <w:pPr>
        <w:spacing w:after="40"/>
      </w:pPr>
    </w:p>
    <w:p w14:paraId="400835B3" w14:textId="77777777" w:rsidR="00DE3723" w:rsidRDefault="00000000">
      <w:pPr>
        <w:spacing w:before="160" w:after="40"/>
      </w:pPr>
      <w:r>
        <w:rPr>
          <w:b/>
          <w:color w:val="5D6D7E"/>
        </w:rPr>
        <w:t>6.2 — Wesentliche Entwicklungen seit Buchveröffentlichung</w:t>
      </w:r>
    </w:p>
    <w:p w14:paraId="1600F8E2" w14:textId="77777777" w:rsidR="00DE3723" w:rsidRDefault="00DE3723">
      <w:pPr>
        <w:spacing w:after="40"/>
      </w:pPr>
    </w:p>
    <w:p w14:paraId="3E58BC4F" w14:textId="77777777" w:rsidR="00DE3723" w:rsidRDefault="00000000">
      <w:pPr>
        <w:spacing w:after="80"/>
      </w:pPr>
      <w:r>
        <w:rPr>
          <w:i/>
        </w:rPr>
        <w:t>[Dieser Abschnitt wird bei jeder Aktualisierung des Dokuments ergänzt]</w:t>
      </w:r>
    </w:p>
    <w:p w14:paraId="6D3D041B" w14:textId="77777777" w:rsidR="00DE3723" w:rsidRDefault="00DE3723">
      <w:pPr>
        <w:spacing w:after="40"/>
      </w:pPr>
    </w:p>
    <w:p w14:paraId="58D35EBE" w14:textId="77777777" w:rsidR="00DE3723" w:rsidRDefault="00000000">
      <w:pPr>
        <w:spacing w:before="160" w:after="40"/>
      </w:pPr>
      <w:r>
        <w:rPr>
          <w:b/>
          <w:color w:val="2C3E50"/>
          <w:sz w:val="22"/>
        </w:rPr>
        <w:t>[Datum] — [Titel der Entwicklung]</w:t>
      </w:r>
    </w:p>
    <w:p w14:paraId="3FE67E42" w14:textId="77777777" w:rsidR="00DE3723" w:rsidRDefault="00000000">
      <w:pPr>
        <w:spacing w:after="80"/>
      </w:pPr>
      <w:r>
        <w:rPr>
          <w:i/>
        </w:rPr>
        <w:t>[Beschreibung der normativen Entwicklung und ihrer Implikationen für das DACH-Gastgewerbe]</w:t>
      </w:r>
    </w:p>
    <w:p w14:paraId="08867EA6" w14:textId="77777777" w:rsidR="00DE3723" w:rsidRDefault="00DE3723">
      <w:pPr>
        <w:spacing w:after="40"/>
      </w:pPr>
    </w:p>
    <w:p w14:paraId="2AB56386" w14:textId="77777777" w:rsidR="00DE3723" w:rsidRDefault="00000000">
      <w:pPr>
        <w:spacing w:before="160" w:after="40"/>
      </w:pPr>
      <w:r>
        <w:rPr>
          <w:b/>
          <w:color w:val="2C3E50"/>
          <w:sz w:val="22"/>
        </w:rPr>
        <w:t>[Datum] — [Titel der Entwicklung]</w:t>
      </w:r>
    </w:p>
    <w:p w14:paraId="0BB7CE85" w14:textId="77777777" w:rsidR="00DE3723" w:rsidRDefault="00000000">
      <w:pPr>
        <w:spacing w:after="80"/>
      </w:pPr>
      <w:r>
        <w:rPr>
          <w:i/>
        </w:rPr>
        <w:t>[Beschreibung]</w:t>
      </w:r>
    </w:p>
    <w:p w14:paraId="257A78B1" w14:textId="77777777" w:rsidR="00DE3723" w:rsidRDefault="00DE3723">
      <w:pPr>
        <w:spacing w:after="40"/>
      </w:pPr>
    </w:p>
    <w:p w14:paraId="6674F6DD" w14:textId="77777777" w:rsidR="00DE3723" w:rsidRDefault="00000000">
      <w:pPr>
        <w:spacing w:before="160" w:after="160"/>
      </w:pPr>
      <w:r>
        <w:rPr>
          <w:color w:val="CCCCCC"/>
          <w:sz w:val="16"/>
        </w:rPr>
        <w:t>────────────────────────────────────────────────────────────────────────────────</w:t>
      </w:r>
    </w:p>
    <w:p w14:paraId="302F70F3" w14:textId="77777777" w:rsidR="00DE3723" w:rsidRDefault="00000000">
      <w:pPr>
        <w:spacing w:before="160" w:after="160"/>
      </w:pPr>
      <w:r>
        <w:rPr>
          <w:color w:val="CCCCCC"/>
          <w:sz w:val="16"/>
        </w:rPr>
        <w:t>────────────────────────────────────────────────────────────────────────────────</w:t>
      </w:r>
    </w:p>
    <w:p w14:paraId="270CED00" w14:textId="77777777" w:rsidR="00DE3723" w:rsidRDefault="00DE3723">
      <w:pPr>
        <w:spacing w:after="40"/>
      </w:pPr>
    </w:p>
    <w:p w14:paraId="35ECE0DB" w14:textId="77777777" w:rsidR="00DE3723" w:rsidRDefault="00000000">
      <w:pPr>
        <w:spacing w:before="320" w:after="120"/>
      </w:pPr>
      <w:r>
        <w:rPr>
          <w:b/>
          <w:color w:val="1A1A2E"/>
          <w:sz w:val="28"/>
        </w:rPr>
        <w:t>2. EU-Taxonomie für touristische Tätigkeiten — mit konkreten Beispielen</w:t>
      </w:r>
    </w:p>
    <w:p w14:paraId="5B7B12D0" w14:textId="77777777" w:rsidR="00DE3723" w:rsidRDefault="00DE3723">
      <w:pPr>
        <w:spacing w:after="40"/>
      </w:pPr>
    </w:p>
    <w:p w14:paraId="1B8DACED" w14:textId="77777777" w:rsidR="00DE3723" w:rsidRDefault="00000000">
      <w:pPr>
        <w:spacing w:before="240" w:after="80"/>
      </w:pPr>
      <w:r>
        <w:rPr>
          <w:b/>
          <w:color w:val="2C3E50"/>
          <w:sz w:val="24"/>
        </w:rPr>
        <w:t>*Praktischer Leitfaden für Hoteleigentümerschaften und -manager im DACH-Raum*</w:t>
      </w:r>
    </w:p>
    <w:p w14:paraId="252FC123" w14:textId="77777777" w:rsidR="00DE3723" w:rsidRDefault="00DE3723">
      <w:pPr>
        <w:spacing w:after="40"/>
      </w:pPr>
    </w:p>
    <w:p w14:paraId="341128AB" w14:textId="77777777" w:rsidR="00DE3723" w:rsidRDefault="00000000">
      <w:pPr>
        <w:spacing w:after="80"/>
      </w:pPr>
      <w:r>
        <w:rPr>
          <w:b/>
        </w:rPr>
        <w:t>Dokumentversion:</w:t>
      </w:r>
      <w:r>
        <w:t xml:space="preserve"> 1.0</w:t>
      </w:r>
    </w:p>
    <w:p w14:paraId="1151F081" w14:textId="77777777" w:rsidR="00DE3723" w:rsidRDefault="00000000">
      <w:pPr>
        <w:spacing w:after="80"/>
      </w:pPr>
      <w:r>
        <w:rPr>
          <w:b/>
        </w:rPr>
        <w:lastRenderedPageBreak/>
        <w:t>Normative Referenzen:</w:t>
      </w:r>
      <w:r>
        <w:t xml:space="preserve"> Verordnung (EU) 2020/852 (Taxonomie-Grundverordnung), Delegierte Verordnung (EU) 2021/2139 (Klimaziele), Delegierte Verordnung (EU) 2023/2485 (Ergänzung), Technische Bewertungskriterien (TSC)</w:t>
      </w:r>
    </w:p>
    <w:p w14:paraId="0F844A2D" w14:textId="77777777" w:rsidR="00DE3723" w:rsidRDefault="00DE3723">
      <w:pPr>
        <w:spacing w:after="40"/>
      </w:pPr>
    </w:p>
    <w:p w14:paraId="611E547F" w14:textId="77777777" w:rsidR="00DE3723" w:rsidRDefault="00000000">
      <w:pPr>
        <w:spacing w:before="160" w:after="160"/>
      </w:pPr>
      <w:r>
        <w:rPr>
          <w:color w:val="CCCCCC"/>
          <w:sz w:val="16"/>
        </w:rPr>
        <w:t>────────────────────────────────────────────────────────────────────────────────</w:t>
      </w:r>
    </w:p>
    <w:p w14:paraId="639C7629" w14:textId="77777777" w:rsidR="00DE3723" w:rsidRDefault="00DE3723">
      <w:pPr>
        <w:spacing w:after="40"/>
      </w:pPr>
    </w:p>
    <w:p w14:paraId="046DDD90" w14:textId="77777777" w:rsidR="00DE3723" w:rsidRDefault="00000000">
      <w:pPr>
        <w:spacing w:before="200" w:after="60"/>
      </w:pPr>
      <w:r>
        <w:rPr>
          <w:b/>
          <w:color w:val="445A6F"/>
          <w:sz w:val="22"/>
        </w:rPr>
        <w:t>Vorbemerkung</w:t>
      </w:r>
    </w:p>
    <w:p w14:paraId="05D9888D" w14:textId="77777777" w:rsidR="00DE3723" w:rsidRDefault="00DE3723">
      <w:pPr>
        <w:spacing w:after="40"/>
      </w:pPr>
    </w:p>
    <w:p w14:paraId="05583549" w14:textId="77777777" w:rsidR="00DE3723" w:rsidRDefault="00000000">
      <w:pPr>
        <w:spacing w:after="80"/>
      </w:pPr>
      <w:r>
        <w:t xml:space="preserve">Die EU-Taxonomie ist ein Klassifizierungssystem für ökologisch nachhaltige wirtschaftliche Aktivitäten. Sie beantwortet die Frage: </w:t>
      </w:r>
      <w:r>
        <w:rPr>
          <w:i/>
        </w:rPr>
        <w:t>Welche Investitionen und Aktivitäten können als "grün" eingestuft werden?</w:t>
      </w:r>
    </w:p>
    <w:p w14:paraId="2400DD81" w14:textId="77777777" w:rsidR="00DE3723" w:rsidRDefault="00DE3723">
      <w:pPr>
        <w:spacing w:after="40"/>
      </w:pPr>
    </w:p>
    <w:p w14:paraId="503E693E" w14:textId="77777777" w:rsidR="00DE3723" w:rsidRDefault="00000000">
      <w:pPr>
        <w:spacing w:after="80"/>
      </w:pPr>
      <w:r>
        <w:t>Für das DACH-Gastgewerbe ist die Taxonomie aus zwei Gründen relevant:</w:t>
      </w:r>
    </w:p>
    <w:p w14:paraId="05583F07" w14:textId="77777777" w:rsidR="00DE3723" w:rsidRDefault="00000000">
      <w:pPr>
        <w:spacing w:after="80"/>
      </w:pPr>
      <w:r>
        <w:t xml:space="preserve">1. </w:t>
      </w:r>
      <w:r>
        <w:rPr>
          <w:b/>
        </w:rPr>
        <w:t>Finanzierung:</w:t>
      </w:r>
      <w:r>
        <w:t xml:space="preserve"> Taxonomiekonforme Assets erhalten bessere Konditionen bei ESG-Finanzierungsprodukten</w:t>
      </w:r>
    </w:p>
    <w:p w14:paraId="2576984E" w14:textId="77777777" w:rsidR="00DE3723" w:rsidRDefault="00000000">
      <w:pPr>
        <w:spacing w:after="80"/>
      </w:pPr>
      <w:r>
        <w:t xml:space="preserve">2. </w:t>
      </w:r>
      <w:r>
        <w:rPr>
          <w:b/>
        </w:rPr>
        <w:t>Berichterstattung:</w:t>
      </w:r>
      <w:r>
        <w:t xml:space="preserve"> CSRD-pflichtige Hotelunternehmen müssen den Taxonomie-Anteil ihrer Aktivitäten offenlegen</w:t>
      </w:r>
    </w:p>
    <w:p w14:paraId="51BDBAFB" w14:textId="77777777" w:rsidR="00DE3723" w:rsidRDefault="00DE3723">
      <w:pPr>
        <w:spacing w:after="40"/>
      </w:pPr>
    </w:p>
    <w:p w14:paraId="76BB166F" w14:textId="77777777" w:rsidR="00DE3723" w:rsidRDefault="00000000">
      <w:pPr>
        <w:spacing w:before="160" w:after="160"/>
      </w:pPr>
      <w:r>
        <w:rPr>
          <w:color w:val="CCCCCC"/>
          <w:sz w:val="16"/>
        </w:rPr>
        <w:t>────────────────────────────────────────────────────────────────────────────────</w:t>
      </w:r>
    </w:p>
    <w:p w14:paraId="025885B5" w14:textId="77777777" w:rsidR="00DE3723" w:rsidRDefault="00DE3723">
      <w:pPr>
        <w:spacing w:after="40"/>
      </w:pPr>
    </w:p>
    <w:p w14:paraId="190E1B17" w14:textId="77777777" w:rsidR="00DE3723" w:rsidRDefault="00000000">
      <w:pPr>
        <w:spacing w:before="200" w:after="60"/>
      </w:pPr>
      <w:r>
        <w:rPr>
          <w:b/>
          <w:color w:val="445A6F"/>
          <w:sz w:val="22"/>
        </w:rPr>
        <w:t>Abschnitt 1 — Architektur der EU-Taxonomie</w:t>
      </w:r>
    </w:p>
    <w:p w14:paraId="4D320CE3" w14:textId="77777777" w:rsidR="00DE3723" w:rsidRDefault="00DE3723">
      <w:pPr>
        <w:spacing w:after="40"/>
      </w:pPr>
    </w:p>
    <w:p w14:paraId="14252E8B" w14:textId="77777777" w:rsidR="00DE3723" w:rsidRDefault="00000000">
      <w:pPr>
        <w:spacing w:before="160" w:after="40"/>
      </w:pPr>
      <w:r>
        <w:rPr>
          <w:b/>
          <w:color w:val="5D6D7E"/>
        </w:rPr>
        <w:t>1.1 — Die sechs Umweltziele</w:t>
      </w:r>
    </w:p>
    <w:p w14:paraId="7177484F" w14:textId="77777777" w:rsidR="00DE3723" w:rsidRDefault="00DE3723">
      <w:pPr>
        <w:spacing w:after="40"/>
      </w:pPr>
    </w:p>
    <w:p w14:paraId="081DF949" w14:textId="77777777" w:rsidR="00DE3723" w:rsidRDefault="00000000">
      <w:pPr>
        <w:spacing w:after="80"/>
      </w:pPr>
      <w:r>
        <w:t>Die EU-Taxonomie definiert sechs Umweltziele:</w:t>
      </w:r>
    </w:p>
    <w:p w14:paraId="00F11F4B" w14:textId="77777777" w:rsidR="00DE3723" w:rsidRDefault="00DE3723">
      <w:pPr>
        <w:spacing w:after="40"/>
      </w:pPr>
    </w:p>
    <w:p w14:paraId="3D4A3572" w14:textId="77777777" w:rsidR="00DE3723" w:rsidRDefault="00000000">
      <w:pPr>
        <w:spacing w:after="80"/>
      </w:pPr>
      <w:r>
        <w:t xml:space="preserve">1. </w:t>
      </w:r>
      <w:r>
        <w:rPr>
          <w:b/>
        </w:rPr>
        <w:t>Klimaschutz</w:t>
      </w:r>
      <w:r>
        <w:t xml:space="preserve"> — Milderung des Klimawandels</w:t>
      </w:r>
    </w:p>
    <w:p w14:paraId="62F12EE7" w14:textId="77777777" w:rsidR="00DE3723" w:rsidRDefault="00000000">
      <w:pPr>
        <w:spacing w:after="80"/>
      </w:pPr>
      <w:r>
        <w:t xml:space="preserve">2. </w:t>
      </w:r>
      <w:r>
        <w:rPr>
          <w:b/>
        </w:rPr>
        <w:t>Klimaanpassung</w:t>
      </w:r>
      <w:r>
        <w:t xml:space="preserve"> — Anpassung an den Klimawandel</w:t>
      </w:r>
    </w:p>
    <w:p w14:paraId="59A14D13" w14:textId="77777777" w:rsidR="00DE3723" w:rsidRDefault="00000000">
      <w:pPr>
        <w:spacing w:after="80"/>
      </w:pPr>
      <w:r>
        <w:t xml:space="preserve">3. </w:t>
      </w:r>
      <w:r>
        <w:rPr>
          <w:b/>
        </w:rPr>
        <w:t>Nachhaltige Nutzung von Wasserressourcen</w:t>
      </w:r>
    </w:p>
    <w:p w14:paraId="1C16C718" w14:textId="77777777" w:rsidR="00DE3723" w:rsidRDefault="00000000">
      <w:pPr>
        <w:spacing w:after="80"/>
      </w:pPr>
      <w:r>
        <w:t xml:space="preserve">4. </w:t>
      </w:r>
      <w:r>
        <w:rPr>
          <w:b/>
        </w:rPr>
        <w:t>Kreislaufwirtschaft</w:t>
      </w:r>
    </w:p>
    <w:p w14:paraId="30E09A7E" w14:textId="77777777" w:rsidR="00DE3723" w:rsidRDefault="00000000">
      <w:pPr>
        <w:spacing w:after="80"/>
      </w:pPr>
      <w:r>
        <w:t xml:space="preserve">5. </w:t>
      </w:r>
      <w:r>
        <w:rPr>
          <w:b/>
        </w:rPr>
        <w:t>Vermeidung von Umweltverschmutzung</w:t>
      </w:r>
    </w:p>
    <w:p w14:paraId="3393A526" w14:textId="77777777" w:rsidR="00DE3723" w:rsidRDefault="00000000">
      <w:pPr>
        <w:spacing w:after="80"/>
      </w:pPr>
      <w:r>
        <w:t xml:space="preserve">6. </w:t>
      </w:r>
      <w:r>
        <w:rPr>
          <w:b/>
        </w:rPr>
        <w:t>Schutz und Wiederherstellung von Biodiversität</w:t>
      </w:r>
    </w:p>
    <w:p w14:paraId="42336052" w14:textId="77777777" w:rsidR="00DE3723" w:rsidRDefault="00DE3723">
      <w:pPr>
        <w:spacing w:after="40"/>
      </w:pPr>
    </w:p>
    <w:p w14:paraId="48030880" w14:textId="77777777" w:rsidR="00DE3723" w:rsidRDefault="00000000">
      <w:pPr>
        <w:spacing w:before="160" w:after="40"/>
      </w:pPr>
      <w:r>
        <w:rPr>
          <w:b/>
          <w:color w:val="5D6D7E"/>
        </w:rPr>
        <w:t>1.2 — Die drei Voraussetzungen der Taxonomiekonformität</w:t>
      </w:r>
    </w:p>
    <w:p w14:paraId="3769E0C1" w14:textId="77777777" w:rsidR="00DE3723" w:rsidRDefault="00DE3723">
      <w:pPr>
        <w:spacing w:after="40"/>
      </w:pPr>
    </w:p>
    <w:p w14:paraId="73E0262D" w14:textId="77777777" w:rsidR="00DE3723" w:rsidRDefault="00000000">
      <w:pPr>
        <w:spacing w:after="80"/>
      </w:pPr>
      <w:r>
        <w:t>Eine Aktivität ist taxonomiekonform, wenn sie drei kumulative Voraussetzungen erfüllt:</w:t>
      </w:r>
    </w:p>
    <w:p w14:paraId="792572EC" w14:textId="77777777" w:rsidR="00DE3723" w:rsidRDefault="00DE3723">
      <w:pPr>
        <w:spacing w:after="40"/>
      </w:pPr>
    </w:p>
    <w:p w14:paraId="2CB6BB33" w14:textId="77777777" w:rsidR="00DE3723" w:rsidRDefault="00000000">
      <w:pPr>
        <w:spacing w:before="160" w:after="40"/>
      </w:pPr>
      <w:r>
        <w:rPr>
          <w:b/>
          <w:color w:val="2C3E50"/>
          <w:sz w:val="22"/>
        </w:rPr>
        <w:lastRenderedPageBreak/>
        <w:t>Voraussetzung 1 — Substantieller Beitrag:</w:t>
      </w:r>
    </w:p>
    <w:p w14:paraId="793869EB" w14:textId="77777777" w:rsidR="00DE3723" w:rsidRDefault="00000000">
      <w:pPr>
        <w:spacing w:after="80"/>
      </w:pPr>
      <w:r>
        <w:t>Die Aktivität muss einen wesentlichen Beitrag zu mindestens einem der sechs Umweltziele leisten — gemessen an den Technischen Bewertungskriterien (TSC).</w:t>
      </w:r>
    </w:p>
    <w:p w14:paraId="044446C6" w14:textId="77777777" w:rsidR="00DE3723" w:rsidRDefault="00DE3723">
      <w:pPr>
        <w:spacing w:after="40"/>
      </w:pPr>
    </w:p>
    <w:p w14:paraId="4A5BCAB5" w14:textId="77777777" w:rsidR="00DE3723" w:rsidRDefault="00000000">
      <w:pPr>
        <w:spacing w:before="160" w:after="40"/>
      </w:pPr>
      <w:r>
        <w:rPr>
          <w:b/>
          <w:color w:val="2C3E50"/>
          <w:sz w:val="22"/>
        </w:rPr>
        <w:t>Voraussetzung 2 — Do No Significant Harm (DNSH):</w:t>
      </w:r>
    </w:p>
    <w:p w14:paraId="3E7C651C" w14:textId="77777777" w:rsidR="00DE3723" w:rsidRDefault="00000000">
      <w:pPr>
        <w:spacing w:after="80"/>
      </w:pPr>
      <w:r>
        <w:t>Die Aktivität darf keines der anderen fünf Umweltziele erheblich beeinträchtigen.</w:t>
      </w:r>
    </w:p>
    <w:p w14:paraId="453FB777" w14:textId="77777777" w:rsidR="00DE3723" w:rsidRDefault="00DE3723">
      <w:pPr>
        <w:spacing w:after="40"/>
      </w:pPr>
    </w:p>
    <w:p w14:paraId="386E3755" w14:textId="77777777" w:rsidR="00DE3723" w:rsidRDefault="00000000">
      <w:pPr>
        <w:spacing w:before="160" w:after="40"/>
      </w:pPr>
      <w:r>
        <w:rPr>
          <w:b/>
          <w:color w:val="2C3E50"/>
          <w:sz w:val="22"/>
        </w:rPr>
        <w:t>Voraussetzung 3 — Mindestschutzmaßnahmen:</w:t>
      </w:r>
    </w:p>
    <w:p w14:paraId="774D8F51" w14:textId="77777777" w:rsidR="00DE3723" w:rsidRDefault="00000000">
      <w:pPr>
        <w:spacing w:after="80"/>
      </w:pPr>
      <w:r>
        <w:t>Die Aktivität muss im Einklang mit den Mindestschutzmaßnahmen für Arbeitnehmerrechte und Menschenrechte durchgeführt werden (OECD-Leitsätze, UN-Leitprinzipien).</w:t>
      </w:r>
    </w:p>
    <w:p w14:paraId="758015A7" w14:textId="77777777" w:rsidR="00DE3723" w:rsidRDefault="00DE3723">
      <w:pPr>
        <w:spacing w:after="40"/>
      </w:pPr>
    </w:p>
    <w:p w14:paraId="4DCB91FE" w14:textId="77777777" w:rsidR="00DE3723" w:rsidRDefault="00000000">
      <w:pPr>
        <w:spacing w:before="160" w:after="160"/>
      </w:pPr>
      <w:r>
        <w:rPr>
          <w:color w:val="CCCCCC"/>
          <w:sz w:val="16"/>
        </w:rPr>
        <w:t>────────────────────────────────────────────────────────────────────────────────</w:t>
      </w:r>
    </w:p>
    <w:p w14:paraId="15AC8D86" w14:textId="77777777" w:rsidR="00DE3723" w:rsidRDefault="00DE3723">
      <w:pPr>
        <w:spacing w:after="40"/>
      </w:pPr>
    </w:p>
    <w:p w14:paraId="17BE15C3" w14:textId="77777777" w:rsidR="00DE3723" w:rsidRDefault="00000000">
      <w:pPr>
        <w:spacing w:before="200" w:after="60"/>
      </w:pPr>
      <w:r>
        <w:rPr>
          <w:b/>
          <w:color w:val="445A6F"/>
          <w:sz w:val="22"/>
        </w:rPr>
        <w:t>Abschnitt 2 — Touristische Aktivitäten in der EU-Taxonomie</w:t>
      </w:r>
    </w:p>
    <w:p w14:paraId="7255A9A3" w14:textId="77777777" w:rsidR="00DE3723" w:rsidRDefault="00DE3723">
      <w:pPr>
        <w:spacing w:after="40"/>
      </w:pPr>
    </w:p>
    <w:p w14:paraId="5B59BD36" w14:textId="77777777" w:rsidR="00DE3723" w:rsidRDefault="00000000">
      <w:pPr>
        <w:spacing w:before="160" w:after="40"/>
      </w:pPr>
      <w:r>
        <w:rPr>
          <w:b/>
          <w:color w:val="5D6D7E"/>
        </w:rPr>
        <w:t>2.1 — Welche Aktivitäten des Gastgewerbes sind in der Taxonomie erfasst?</w:t>
      </w:r>
    </w:p>
    <w:p w14:paraId="1CBCA925" w14:textId="77777777" w:rsidR="00DE3723" w:rsidRDefault="00DE3723">
      <w:pPr>
        <w:spacing w:after="40"/>
      </w:pPr>
    </w:p>
    <w:p w14:paraId="0CB1B2D5" w14:textId="77777777" w:rsidR="00DE3723" w:rsidRDefault="00000000">
      <w:pPr>
        <w:spacing w:after="80"/>
      </w:pPr>
      <w:r>
        <w:t>Die EU-Taxonomie (Delegierte Verordnung 2021/2139, ergänzt durch 2023/2485) erfasst folgende für das Gastgewerbe relevante Aktivitäten:</w:t>
      </w:r>
    </w:p>
    <w:p w14:paraId="1826464F" w14:textId="77777777" w:rsidR="00DE3723" w:rsidRDefault="00DE3723">
      <w:pPr>
        <w:spacing w:after="40"/>
      </w:pPr>
    </w:p>
    <w:p w14:paraId="0F640FA1" w14:textId="77777777" w:rsidR="00DE3723" w:rsidRDefault="00000000">
      <w:pPr>
        <w:spacing w:before="160" w:after="40"/>
      </w:pPr>
      <w:r>
        <w:rPr>
          <w:b/>
          <w:color w:val="2C3E50"/>
          <w:sz w:val="22"/>
        </w:rPr>
        <w:t>Direkt erfasste Aktivitäten:</w:t>
      </w:r>
    </w:p>
    <w:p w14:paraId="0CB85F8B" w14:textId="77777777" w:rsidR="00DE3723" w:rsidRDefault="00DE3723">
      <w:pPr>
        <w:spacing w:after="40"/>
      </w:pPr>
    </w:p>
    <w:p w14:paraId="183618FC" w14:textId="77777777" w:rsidR="00DE3723" w:rsidRDefault="00000000">
      <w:pPr>
        <w:pStyle w:val="Puntoelenco"/>
        <w:spacing w:after="40"/>
      </w:pPr>
      <w:r>
        <w:rPr>
          <w:b/>
          <w:sz w:val="20"/>
        </w:rPr>
        <w:t>NACE I55 — Beherbergung:</w:t>
      </w:r>
      <w:r>
        <w:rPr>
          <w:sz w:val="20"/>
        </w:rPr>
        <w:t xml:space="preserve"> Hotelbetrieb, Ferienwohnungsvermietung, Campingplätze</w:t>
      </w:r>
    </w:p>
    <w:p w14:paraId="6E694BF1" w14:textId="77777777" w:rsidR="00DE3723" w:rsidRDefault="00000000">
      <w:pPr>
        <w:pStyle w:val="Puntoelenco"/>
        <w:spacing w:after="40"/>
      </w:pPr>
      <w:r>
        <w:rPr>
          <w:b/>
          <w:sz w:val="20"/>
        </w:rPr>
        <w:t>NACE F41 — Hochbau:</w:t>
      </w:r>
      <w:r>
        <w:rPr>
          <w:sz w:val="20"/>
        </w:rPr>
        <w:t xml:space="preserve"> Neubau und Renovierung von Gebäuden (relevant für Investitionsentscheidungen)</w:t>
      </w:r>
    </w:p>
    <w:p w14:paraId="589358EE" w14:textId="77777777" w:rsidR="00DE3723" w:rsidRDefault="00000000">
      <w:pPr>
        <w:pStyle w:val="Puntoelenco"/>
        <w:spacing w:after="40"/>
      </w:pPr>
      <w:r>
        <w:rPr>
          <w:b/>
          <w:sz w:val="20"/>
        </w:rPr>
        <w:t>NACE D35.1 — Stromerzeugung aus erneuerbaren Quellen:</w:t>
      </w:r>
      <w:r>
        <w:rPr>
          <w:sz w:val="20"/>
        </w:rPr>
        <w:t xml:space="preserve"> Onsite-Stromerzeugung (PV-Anlagen auf Hoteldächern)</w:t>
      </w:r>
    </w:p>
    <w:p w14:paraId="27C79062" w14:textId="77777777" w:rsidR="00DE3723" w:rsidRDefault="00000000">
      <w:pPr>
        <w:pStyle w:val="Puntoelenco"/>
        <w:spacing w:after="40"/>
      </w:pPr>
      <w:r>
        <w:rPr>
          <w:b/>
          <w:sz w:val="20"/>
        </w:rPr>
        <w:t>NACE H49-H51 — Transport:</w:t>
      </w:r>
      <w:r>
        <w:rPr>
          <w:sz w:val="20"/>
        </w:rPr>
        <w:t xml:space="preserve"> Elektromobilität, nachhaltige Mobilitätslösungen für Gäste</w:t>
      </w:r>
    </w:p>
    <w:p w14:paraId="2DFAC4FD" w14:textId="77777777" w:rsidR="00DE3723" w:rsidRDefault="00DE3723">
      <w:pPr>
        <w:spacing w:after="40"/>
      </w:pPr>
    </w:p>
    <w:p w14:paraId="0863D908" w14:textId="77777777" w:rsidR="00DE3723" w:rsidRDefault="00000000">
      <w:pPr>
        <w:spacing w:before="160" w:after="40"/>
      </w:pPr>
      <w:r>
        <w:rPr>
          <w:b/>
          <w:color w:val="2C3E50"/>
          <w:sz w:val="22"/>
        </w:rPr>
        <w:t>Indirekt relevante Aktivitäten (Lieferkette):</w:t>
      </w:r>
    </w:p>
    <w:p w14:paraId="7989C771" w14:textId="77777777" w:rsidR="00DE3723" w:rsidRDefault="00000000">
      <w:pPr>
        <w:pStyle w:val="Puntoelenco"/>
        <w:spacing w:after="40"/>
      </w:pPr>
      <w:r>
        <w:rPr>
          <w:sz w:val="20"/>
        </w:rPr>
        <w:t>Lebensmittelproduktion und -verarbeitung</w:t>
      </w:r>
    </w:p>
    <w:p w14:paraId="35B53B74" w14:textId="77777777" w:rsidR="00DE3723" w:rsidRDefault="00000000">
      <w:pPr>
        <w:pStyle w:val="Puntoelenco"/>
        <w:spacing w:after="40"/>
      </w:pPr>
      <w:r>
        <w:rPr>
          <w:sz w:val="20"/>
        </w:rPr>
        <w:t>Wasser- und Abwasserbehandlung</w:t>
      </w:r>
    </w:p>
    <w:p w14:paraId="04B69F4B" w14:textId="77777777" w:rsidR="00DE3723" w:rsidRDefault="00000000">
      <w:pPr>
        <w:pStyle w:val="Puntoelenco"/>
        <w:spacing w:after="40"/>
      </w:pPr>
      <w:r>
        <w:rPr>
          <w:sz w:val="20"/>
        </w:rPr>
        <w:t>Gebäudeenergieeffizienz</w:t>
      </w:r>
    </w:p>
    <w:p w14:paraId="6D09C507" w14:textId="77777777" w:rsidR="00DE3723" w:rsidRDefault="00DE3723">
      <w:pPr>
        <w:spacing w:after="40"/>
      </w:pPr>
    </w:p>
    <w:p w14:paraId="2AD89402" w14:textId="77777777" w:rsidR="00DE3723" w:rsidRDefault="00000000">
      <w:pPr>
        <w:spacing w:before="160" w:after="40"/>
      </w:pPr>
      <w:r>
        <w:rPr>
          <w:b/>
          <w:color w:val="5D6D7E"/>
        </w:rPr>
        <w:t>2.2 — Technische Bewertungskriterien für Beherbergung (NACE I55)</w:t>
      </w:r>
    </w:p>
    <w:p w14:paraId="51B2CAF2" w14:textId="77777777" w:rsidR="00DE3723" w:rsidRDefault="00DE3723">
      <w:pPr>
        <w:spacing w:after="40"/>
      </w:pPr>
    </w:p>
    <w:p w14:paraId="532084EC" w14:textId="77777777" w:rsidR="00DE3723" w:rsidRDefault="00000000">
      <w:pPr>
        <w:spacing w:after="80"/>
      </w:pPr>
      <w:r>
        <w:t>Die Technischen Bewertungskriterien für die Beherbergungsbranche konzentrieren sich primär auf das Klimaschutzziel (Ziel 1).</w:t>
      </w:r>
    </w:p>
    <w:p w14:paraId="219837DD" w14:textId="77777777" w:rsidR="00DE3723" w:rsidRDefault="00DE3723">
      <w:pPr>
        <w:spacing w:after="40"/>
      </w:pPr>
    </w:p>
    <w:p w14:paraId="67A3E2DD" w14:textId="77777777" w:rsidR="00DE3723" w:rsidRDefault="00000000">
      <w:pPr>
        <w:spacing w:before="160" w:after="40"/>
      </w:pPr>
      <w:r>
        <w:rPr>
          <w:b/>
          <w:color w:val="2C3E50"/>
          <w:sz w:val="22"/>
        </w:rPr>
        <w:t>Substantieller Beitrag zum Klimaschutz — Energieeffizienz:</w:t>
      </w:r>
    </w:p>
    <w:p w14:paraId="1543205D" w14:textId="77777777" w:rsidR="00DE3723" w:rsidRDefault="00DE3723">
      <w:pPr>
        <w:spacing w:after="40"/>
      </w:pPr>
    </w:p>
    <w:p w14:paraId="4B3D4EB9" w14:textId="77777777" w:rsidR="00DE3723" w:rsidRDefault="00000000">
      <w:pPr>
        <w:spacing w:after="80"/>
      </w:pPr>
      <w:r>
        <w:rPr>
          <w:i/>
        </w:rPr>
        <w:t>Option A — Neubau:</w:t>
      </w:r>
    </w:p>
    <w:p w14:paraId="0A01FF3A" w14:textId="77777777" w:rsidR="00DE3723" w:rsidRDefault="00000000">
      <w:pPr>
        <w:pStyle w:val="Puntoelenco"/>
        <w:spacing w:after="40"/>
      </w:pPr>
      <w:r>
        <w:rPr>
          <w:sz w:val="20"/>
        </w:rPr>
        <w:t>Primärenergiebedarf (PED) mindestens 10% unter dem nationalen NZEB-Standard (Nearly Zero Energy Building)</w:t>
      </w:r>
    </w:p>
    <w:p w14:paraId="09A91CC1" w14:textId="77777777" w:rsidR="00DE3723" w:rsidRDefault="00000000">
      <w:pPr>
        <w:pStyle w:val="Puntoelenco"/>
        <w:spacing w:after="40"/>
      </w:pPr>
      <w:r>
        <w:rPr>
          <w:sz w:val="20"/>
        </w:rPr>
        <w:t>Deutschland: GEG NZEB-Anforderungen</w:t>
      </w:r>
    </w:p>
    <w:p w14:paraId="37C0D2EF" w14:textId="77777777" w:rsidR="00DE3723" w:rsidRDefault="00000000">
      <w:pPr>
        <w:pStyle w:val="Puntoelenco"/>
        <w:spacing w:after="40"/>
      </w:pPr>
      <w:r>
        <w:rPr>
          <w:sz w:val="20"/>
        </w:rPr>
        <w:t>Österreich: OIB-Richtlinie 6 NZEB-Anforderungen</w:t>
      </w:r>
    </w:p>
    <w:p w14:paraId="7B68E4DA" w14:textId="77777777" w:rsidR="00DE3723" w:rsidRDefault="00000000">
      <w:pPr>
        <w:pStyle w:val="Puntoelenco"/>
        <w:spacing w:after="40"/>
      </w:pPr>
      <w:r>
        <w:rPr>
          <w:sz w:val="20"/>
        </w:rPr>
        <w:t>Schweiz: MINERGIE-Standard als Referenz</w:t>
      </w:r>
    </w:p>
    <w:p w14:paraId="02206AB9" w14:textId="77777777" w:rsidR="00DE3723" w:rsidRDefault="00DE3723">
      <w:pPr>
        <w:spacing w:after="40"/>
      </w:pPr>
    </w:p>
    <w:p w14:paraId="30AAE17F" w14:textId="77777777" w:rsidR="00DE3723" w:rsidRDefault="00000000">
      <w:pPr>
        <w:spacing w:after="80"/>
      </w:pPr>
      <w:r>
        <w:rPr>
          <w:i/>
        </w:rPr>
        <w:t>Option B — Renovierung/Sanierung:</w:t>
      </w:r>
    </w:p>
    <w:p w14:paraId="26999803" w14:textId="77777777" w:rsidR="00DE3723" w:rsidRDefault="00000000">
      <w:pPr>
        <w:pStyle w:val="Puntoelenco"/>
        <w:spacing w:after="40"/>
      </w:pPr>
      <w:r>
        <w:rPr>
          <w:sz w:val="20"/>
        </w:rPr>
        <w:t>Mindestens 30% Reduktion des Primärenergiebedarfs durch die Renovierung</w:t>
      </w:r>
    </w:p>
    <w:p w14:paraId="6D697185" w14:textId="77777777" w:rsidR="00DE3723" w:rsidRDefault="00000000">
      <w:pPr>
        <w:pStyle w:val="Puntoelenco"/>
        <w:spacing w:after="40"/>
      </w:pPr>
      <w:r>
        <w:rPr>
          <w:sz w:val="20"/>
        </w:rPr>
        <w:t>ODER: Erreichen der Energieklasse A (Energieausweis) nach der Renovierung</w:t>
      </w:r>
    </w:p>
    <w:p w14:paraId="0134F1A2" w14:textId="77777777" w:rsidR="00DE3723" w:rsidRDefault="00DE3723">
      <w:pPr>
        <w:spacing w:after="40"/>
      </w:pPr>
    </w:p>
    <w:p w14:paraId="67268022" w14:textId="77777777" w:rsidR="00DE3723" w:rsidRDefault="00000000">
      <w:pPr>
        <w:spacing w:after="80"/>
      </w:pPr>
      <w:r>
        <w:rPr>
          <w:i/>
        </w:rPr>
        <w:t>Option C — Betrieb bestehender Gebäude:</w:t>
      </w:r>
    </w:p>
    <w:p w14:paraId="4B0E7F9B" w14:textId="77777777" w:rsidR="00DE3723" w:rsidRDefault="00000000">
      <w:pPr>
        <w:pStyle w:val="Puntoelenco"/>
        <w:spacing w:after="40"/>
      </w:pPr>
      <w:r>
        <w:rPr>
          <w:sz w:val="20"/>
        </w:rPr>
        <w:t>Primärenergiebedarf unterhalb des Medians der nationalen Gebäudebestandsklasse</w:t>
      </w:r>
    </w:p>
    <w:p w14:paraId="064227CB" w14:textId="77777777" w:rsidR="00DE3723" w:rsidRDefault="00000000">
      <w:pPr>
        <w:pStyle w:val="Puntoelenco"/>
        <w:spacing w:after="40"/>
      </w:pPr>
      <w:r>
        <w:rPr>
          <w:sz w:val="20"/>
        </w:rPr>
        <w:t>Energieausweis-Klasse A oder B als Proxy</w:t>
      </w:r>
    </w:p>
    <w:p w14:paraId="32FD38FD" w14:textId="77777777" w:rsidR="00DE3723" w:rsidRDefault="00000000">
      <w:pPr>
        <w:pStyle w:val="Puntoelenco"/>
        <w:spacing w:after="40"/>
      </w:pPr>
      <w:r>
        <w:rPr>
          <w:i/>
          <w:sz w:val="20"/>
        </w:rPr>
        <w:t>[V — genaue TSC-Formulierung für bestehende Gebäude in der delegierten Verordnung 2023/2485 verifizieren]</w:t>
      </w:r>
    </w:p>
    <w:p w14:paraId="37801C20" w14:textId="77777777" w:rsidR="00DE3723" w:rsidRDefault="00DE3723">
      <w:pPr>
        <w:spacing w:after="40"/>
      </w:pPr>
    </w:p>
    <w:p w14:paraId="48C3C5C6" w14:textId="77777777" w:rsidR="00DE3723" w:rsidRDefault="00000000">
      <w:pPr>
        <w:spacing w:before="160" w:after="40"/>
      </w:pPr>
      <w:r>
        <w:rPr>
          <w:b/>
          <w:color w:val="2C3E50"/>
          <w:sz w:val="22"/>
        </w:rPr>
        <w:t>DNSH-Kriterien für Beherbergung:</w:t>
      </w:r>
    </w:p>
    <w:p w14:paraId="19872814" w14:textId="77777777" w:rsidR="00DE3723" w:rsidRDefault="00DE3723">
      <w:pPr>
        <w:spacing w:after="40"/>
      </w:pPr>
    </w:p>
    <w:p w14:paraId="7119575C" w14:textId="77777777" w:rsidR="00DE3723" w:rsidRDefault="00000000">
      <w:pPr>
        <w:pStyle w:val="Puntoelenco"/>
        <w:spacing w:after="40"/>
      </w:pPr>
      <w:r>
        <w:rPr>
          <w:sz w:val="20"/>
        </w:rPr>
        <w:t>Klimaanpassung: Physische Klimarisiken-Assessment nach ISO 14091 durchgeführt</w:t>
      </w:r>
    </w:p>
    <w:p w14:paraId="74396B4A" w14:textId="77777777" w:rsidR="00DE3723" w:rsidRDefault="00000000">
      <w:pPr>
        <w:pStyle w:val="Puntoelenco"/>
        <w:spacing w:after="40"/>
      </w:pPr>
      <w:r>
        <w:rPr>
          <w:sz w:val="20"/>
        </w:rPr>
        <w:t>Wasser: Wassersparendes Zubehör installiert (Durchflussregler, wassersparende Sanitäranlagen)</w:t>
      </w:r>
    </w:p>
    <w:p w14:paraId="59D5F449" w14:textId="77777777" w:rsidR="00DE3723" w:rsidRDefault="00000000">
      <w:pPr>
        <w:pStyle w:val="Puntoelenco"/>
        <w:spacing w:after="40"/>
      </w:pPr>
      <w:r>
        <w:rPr>
          <w:sz w:val="20"/>
        </w:rPr>
        <w:t>Kreislaufwirtschaft: Mindest-Trennquote für Abfall; keine Verwendung von Einwegkunststoffen wo verboten (SUP-Richtlinie)</w:t>
      </w:r>
    </w:p>
    <w:p w14:paraId="00097ED9" w14:textId="77777777" w:rsidR="00DE3723" w:rsidRDefault="00000000">
      <w:pPr>
        <w:pStyle w:val="Puntoelenco"/>
        <w:spacing w:after="40"/>
      </w:pPr>
      <w:r>
        <w:rPr>
          <w:sz w:val="20"/>
        </w:rPr>
        <w:t>Biodiversität: Keine Aktivitäten in/nahe Schutzgebieten ohne Genehmigung</w:t>
      </w:r>
    </w:p>
    <w:p w14:paraId="0753F4A5" w14:textId="77777777" w:rsidR="00DE3723" w:rsidRDefault="00DE3723">
      <w:pPr>
        <w:spacing w:after="40"/>
      </w:pPr>
    </w:p>
    <w:p w14:paraId="3ADD1F0E" w14:textId="77777777" w:rsidR="00DE3723" w:rsidRDefault="00000000">
      <w:pPr>
        <w:spacing w:before="160" w:after="160"/>
      </w:pPr>
      <w:r>
        <w:rPr>
          <w:color w:val="CCCCCC"/>
          <w:sz w:val="16"/>
        </w:rPr>
        <w:t>────────────────────────────────────────────────────────────────────────────────</w:t>
      </w:r>
    </w:p>
    <w:p w14:paraId="4FFD3DA9" w14:textId="77777777" w:rsidR="00DE3723" w:rsidRDefault="00DE3723">
      <w:pPr>
        <w:spacing w:after="40"/>
      </w:pPr>
    </w:p>
    <w:p w14:paraId="41336166" w14:textId="77777777" w:rsidR="00DE3723" w:rsidRDefault="00000000">
      <w:pPr>
        <w:spacing w:before="200" w:after="60"/>
      </w:pPr>
      <w:r>
        <w:rPr>
          <w:b/>
          <w:color w:val="445A6F"/>
          <w:sz w:val="22"/>
        </w:rPr>
        <w:t>Abschnitt 3 — Konkrete Beispiele nach Investitionstyp</w:t>
      </w:r>
    </w:p>
    <w:p w14:paraId="6B2C5A32" w14:textId="77777777" w:rsidR="00DE3723" w:rsidRDefault="00DE3723">
      <w:pPr>
        <w:spacing w:after="40"/>
      </w:pPr>
    </w:p>
    <w:p w14:paraId="1F8D2FB2" w14:textId="77777777" w:rsidR="00DE3723" w:rsidRDefault="00000000">
      <w:pPr>
        <w:spacing w:before="160" w:after="40"/>
      </w:pPr>
      <w:r>
        <w:rPr>
          <w:b/>
          <w:color w:val="5D6D7E"/>
        </w:rPr>
        <w:t>3.1 — Beispiel 1: Vollsanierung eines Vier-Sterne-Hotels in München</w:t>
      </w:r>
    </w:p>
    <w:p w14:paraId="066B7923" w14:textId="77777777" w:rsidR="00DE3723" w:rsidRDefault="00DE3723">
      <w:pPr>
        <w:spacing w:after="40"/>
      </w:pPr>
    </w:p>
    <w:p w14:paraId="6412F367" w14:textId="77777777" w:rsidR="00DE3723" w:rsidRDefault="00000000">
      <w:pPr>
        <w:spacing w:after="80"/>
      </w:pPr>
      <w:r>
        <w:rPr>
          <w:b/>
        </w:rPr>
        <w:t>Ausgangssituation:</w:t>
      </w:r>
      <w:r>
        <w:t xml:space="preserve"> Vier-Sterne-Hotel, Baujahr 1978, 120 Zimmer, Energieklasse E (Energieausweis), Heizsystem mit Erdgaskessel, keine erneuerbaren Energien.</w:t>
      </w:r>
    </w:p>
    <w:p w14:paraId="46109F64" w14:textId="77777777" w:rsidR="00DE3723" w:rsidRDefault="00DE3723">
      <w:pPr>
        <w:spacing w:after="40"/>
      </w:pPr>
    </w:p>
    <w:p w14:paraId="06BFAB87" w14:textId="77777777" w:rsidR="00DE3723" w:rsidRDefault="00000000">
      <w:pPr>
        <w:spacing w:after="80"/>
      </w:pPr>
      <w:r>
        <w:rPr>
          <w:b/>
        </w:rPr>
        <w:t>Geplante Investition:</w:t>
      </w:r>
      <w:r>
        <w:t xml:space="preserve"> Vollsanierung mit Wärmepumpenheizung, Dachdämmung, Fensteraustausch, PV-Anlage 60 kWp, DALI-Beleuchtungssteuerung, Sub-Metering-System. Investitionsvolumen: 2,8 Mio. EUR.</w:t>
      </w:r>
    </w:p>
    <w:p w14:paraId="0224189D" w14:textId="77777777" w:rsidR="00DE3723" w:rsidRDefault="00DE3723">
      <w:pPr>
        <w:spacing w:after="40"/>
      </w:pPr>
    </w:p>
    <w:p w14:paraId="3DD0E5D9" w14:textId="77777777" w:rsidR="00DE3723" w:rsidRDefault="00000000">
      <w:pPr>
        <w:spacing w:before="160" w:after="40"/>
      </w:pPr>
      <w:r>
        <w:rPr>
          <w:b/>
          <w:color w:val="2C3E50"/>
          <w:sz w:val="22"/>
        </w:rPr>
        <w:t>Taxonomie-Analyse:</w:t>
      </w:r>
    </w:p>
    <w:p w14:paraId="120E9320" w14:textId="77777777" w:rsidR="00DE3723" w:rsidRDefault="00DE3723">
      <w:pPr>
        <w:spacing w:after="40"/>
      </w:pPr>
    </w:p>
    <w:p w14:paraId="542EDC36" w14:textId="77777777" w:rsidR="00DE3723" w:rsidRDefault="00000000">
      <w:pPr>
        <w:spacing w:after="80"/>
      </w:pPr>
      <w:r>
        <w:rPr>
          <w:i/>
        </w:rPr>
        <w:t>Anwendbare Aktivität:</w:t>
      </w:r>
      <w:r>
        <w:t xml:space="preserve"> NACE F41.2 (Renovierung von Wohn- und Nichtwohngebäuden)</w:t>
      </w:r>
    </w:p>
    <w:p w14:paraId="24C2D631" w14:textId="77777777" w:rsidR="00DE3723" w:rsidRDefault="00DE3723">
      <w:pPr>
        <w:spacing w:after="40"/>
      </w:pPr>
    </w:p>
    <w:p w14:paraId="619FCFB8" w14:textId="77777777" w:rsidR="00DE3723" w:rsidRDefault="00000000">
      <w:pPr>
        <w:spacing w:after="80"/>
      </w:pPr>
      <w:r>
        <w:rPr>
          <w:i/>
        </w:rPr>
        <w:t>Substantieller Beitrag:</w:t>
      </w:r>
    </w:p>
    <w:p w14:paraId="4AF0AF58" w14:textId="77777777" w:rsidR="00DE3723" w:rsidRDefault="00000000">
      <w:pPr>
        <w:pStyle w:val="Puntoelenco"/>
        <w:spacing w:after="40"/>
      </w:pPr>
      <w:r>
        <w:rPr>
          <w:sz w:val="20"/>
        </w:rPr>
        <w:t>Primärenergiebedarf-Reduktion durch Maßnahmenpaket: projiziert -42% (über der 30%-Schwelle) ✅</w:t>
      </w:r>
    </w:p>
    <w:p w14:paraId="0E839338" w14:textId="77777777" w:rsidR="00DE3723" w:rsidRDefault="00000000">
      <w:pPr>
        <w:pStyle w:val="Puntoelenco"/>
        <w:spacing w:after="40"/>
      </w:pPr>
      <w:r>
        <w:rPr>
          <w:sz w:val="20"/>
        </w:rPr>
        <w:t>Alternativ: Energieklasse nach Sanierung: B (unter A — DNSH-Kriterium für Wasser prüfen) ⚠</w:t>
      </w:r>
    </w:p>
    <w:p w14:paraId="68B3936C" w14:textId="77777777" w:rsidR="00DE3723" w:rsidRDefault="00DE3723">
      <w:pPr>
        <w:spacing w:after="40"/>
      </w:pPr>
    </w:p>
    <w:p w14:paraId="4C2B8C65" w14:textId="77777777" w:rsidR="00DE3723" w:rsidRDefault="00000000">
      <w:pPr>
        <w:spacing w:after="80"/>
      </w:pPr>
      <w:r>
        <w:rPr>
          <w:i/>
        </w:rPr>
        <w:t>DNSH-Prüfung:</w:t>
      </w:r>
    </w:p>
    <w:p w14:paraId="3DB5E9B1" w14:textId="77777777" w:rsidR="00DE3723" w:rsidRDefault="00000000">
      <w:pPr>
        <w:pStyle w:val="Puntoelenco"/>
        <w:spacing w:after="40"/>
      </w:pPr>
      <w:r>
        <w:rPr>
          <w:sz w:val="20"/>
        </w:rPr>
        <w:t>Klimaanpassung: Klimarisiken-Assessment nach ISO 14091 erforderlich — noch nicht durchgeführt ⚠</w:t>
      </w:r>
    </w:p>
    <w:p w14:paraId="06D2ED77" w14:textId="77777777" w:rsidR="00DE3723" w:rsidRDefault="00000000">
      <w:pPr>
        <w:pStyle w:val="Puntoelenco"/>
        <w:spacing w:after="40"/>
      </w:pPr>
      <w:r>
        <w:rPr>
          <w:sz w:val="20"/>
        </w:rPr>
        <w:t>Wasser: Neue Sanitäranlagen mit Durchflussreglern geplant ✅</w:t>
      </w:r>
    </w:p>
    <w:p w14:paraId="64ECB09D" w14:textId="77777777" w:rsidR="00DE3723" w:rsidRDefault="00000000">
      <w:pPr>
        <w:pStyle w:val="Puntoelenco"/>
        <w:spacing w:after="40"/>
      </w:pPr>
      <w:r>
        <w:rPr>
          <w:sz w:val="20"/>
        </w:rPr>
        <w:t>Kreislaufwirtschaft: Abbruchmaterialien: Entsorgungsplan mit Trennquote &gt;70% geplant ✅</w:t>
      </w:r>
    </w:p>
    <w:p w14:paraId="674074B0" w14:textId="77777777" w:rsidR="00DE3723" w:rsidRDefault="00000000">
      <w:pPr>
        <w:pStyle w:val="Puntoelenco"/>
        <w:spacing w:after="40"/>
      </w:pPr>
      <w:r>
        <w:rPr>
          <w:sz w:val="20"/>
        </w:rPr>
        <w:t>Biodiversität: Innenstadtlage, keine Schutzgebiete betroffen ✅</w:t>
      </w:r>
    </w:p>
    <w:p w14:paraId="2EC9753B" w14:textId="77777777" w:rsidR="00DE3723" w:rsidRDefault="00DE3723">
      <w:pPr>
        <w:spacing w:after="40"/>
      </w:pPr>
    </w:p>
    <w:p w14:paraId="01A3247D" w14:textId="77777777" w:rsidR="00DE3723" w:rsidRDefault="00000000">
      <w:pPr>
        <w:spacing w:after="80"/>
      </w:pPr>
      <w:r>
        <w:rPr>
          <w:i/>
        </w:rPr>
        <w:t>Mindestschutzmaßnahmen:</w:t>
      </w:r>
    </w:p>
    <w:p w14:paraId="6ABB90E5" w14:textId="77777777" w:rsidR="00DE3723" w:rsidRDefault="00000000">
      <w:pPr>
        <w:pStyle w:val="Puntoelenco"/>
        <w:spacing w:after="40"/>
      </w:pPr>
      <w:r>
        <w:rPr>
          <w:sz w:val="20"/>
        </w:rPr>
        <w:t>Tarifvertrag Baugewerbe Bayern eingehalten ✅</w:t>
      </w:r>
    </w:p>
    <w:p w14:paraId="38B297F4" w14:textId="77777777" w:rsidR="00DE3723" w:rsidRDefault="00000000">
      <w:pPr>
        <w:pStyle w:val="Puntoelenco"/>
        <w:spacing w:after="40"/>
      </w:pPr>
      <w:r>
        <w:rPr>
          <w:sz w:val="20"/>
        </w:rPr>
        <w:t>Vergabe an zertifizierte Handwerksbetriebe ✅</w:t>
      </w:r>
    </w:p>
    <w:p w14:paraId="367C4D20" w14:textId="77777777" w:rsidR="00DE3723" w:rsidRDefault="00DE3723">
      <w:pPr>
        <w:spacing w:after="40"/>
      </w:pPr>
    </w:p>
    <w:p w14:paraId="59A7842A" w14:textId="77777777" w:rsidR="00DE3723" w:rsidRDefault="00000000">
      <w:pPr>
        <w:spacing w:after="80"/>
      </w:pPr>
      <w:r>
        <w:rPr>
          <w:i/>
        </w:rPr>
        <w:t>Ergebnis:</w:t>
      </w:r>
      <w:r>
        <w:t xml:space="preserve"> </w:t>
      </w:r>
      <w:r>
        <w:rPr>
          <w:b/>
        </w:rPr>
        <w:t>Taxonomiekonform, wenn</w:t>
      </w:r>
      <w:r>
        <w:t xml:space="preserve"> Klimarisiken-Assessment nach ISO 14091 nachgeholt und Energieklasse A oder nachgewiesene -30%-Reduktion dokumentiert wird.</w:t>
      </w:r>
    </w:p>
    <w:p w14:paraId="0A861A4D" w14:textId="77777777" w:rsidR="00DE3723" w:rsidRDefault="00DE3723">
      <w:pPr>
        <w:spacing w:after="40"/>
      </w:pPr>
    </w:p>
    <w:p w14:paraId="55ABA3AF" w14:textId="77777777" w:rsidR="00DE3723" w:rsidRDefault="00000000">
      <w:pPr>
        <w:spacing w:after="80"/>
      </w:pPr>
      <w:r>
        <w:rPr>
          <w:i/>
        </w:rPr>
        <w:t>Finanzierungsimplikation:</w:t>
      </w:r>
      <w:r>
        <w:t xml:space="preserve"> KfW-Programm "Bundesförderung für effiziente Gebäude" (BEG) mit Bonus für Taxonomiekonformität; ESG-Darlehen der Hausbank zu reduzierten Konditionen möglich.</w:t>
      </w:r>
    </w:p>
    <w:p w14:paraId="34B354C1" w14:textId="77777777" w:rsidR="00DE3723" w:rsidRDefault="00DE3723">
      <w:pPr>
        <w:spacing w:after="40"/>
      </w:pPr>
    </w:p>
    <w:p w14:paraId="5EC74455" w14:textId="77777777" w:rsidR="00DE3723" w:rsidRDefault="00000000">
      <w:pPr>
        <w:spacing w:before="160" w:after="160"/>
      </w:pPr>
      <w:r>
        <w:rPr>
          <w:color w:val="CCCCCC"/>
          <w:sz w:val="16"/>
        </w:rPr>
        <w:t>────────────────────────────────────────────────────────────────────────────────</w:t>
      </w:r>
    </w:p>
    <w:p w14:paraId="1D955104" w14:textId="77777777" w:rsidR="00DE3723" w:rsidRDefault="00DE3723">
      <w:pPr>
        <w:spacing w:after="40"/>
      </w:pPr>
    </w:p>
    <w:p w14:paraId="0451BBA8" w14:textId="77777777" w:rsidR="00DE3723" w:rsidRDefault="00000000">
      <w:pPr>
        <w:spacing w:before="160" w:after="40"/>
      </w:pPr>
      <w:r>
        <w:rPr>
          <w:b/>
          <w:color w:val="5D6D7E"/>
        </w:rPr>
        <w:t>3.2 — Beispiel 2: PV-Anlage auf dem Dach eines Wiener Stadthotels</w:t>
      </w:r>
    </w:p>
    <w:p w14:paraId="4E98CE28" w14:textId="77777777" w:rsidR="00DE3723" w:rsidRDefault="00DE3723">
      <w:pPr>
        <w:spacing w:after="40"/>
      </w:pPr>
    </w:p>
    <w:p w14:paraId="5729C23A" w14:textId="77777777" w:rsidR="00DE3723" w:rsidRDefault="00000000">
      <w:pPr>
        <w:spacing w:after="80"/>
      </w:pPr>
      <w:r>
        <w:rPr>
          <w:b/>
        </w:rPr>
        <w:t>Ausgangssituation:</w:t>
      </w:r>
      <w:r>
        <w:t xml:space="preserve"> Fünf-Sterne-Hotel Wien, 180 Zimmer, Flachdach 1.200 m², geplante PV-Anlage 95 kWp.</w:t>
      </w:r>
    </w:p>
    <w:p w14:paraId="780D01E9" w14:textId="77777777" w:rsidR="00DE3723" w:rsidRDefault="00DE3723">
      <w:pPr>
        <w:spacing w:after="40"/>
      </w:pPr>
    </w:p>
    <w:p w14:paraId="260F357E" w14:textId="77777777" w:rsidR="00DE3723" w:rsidRDefault="00000000">
      <w:pPr>
        <w:spacing w:before="160" w:after="40"/>
      </w:pPr>
      <w:r>
        <w:rPr>
          <w:b/>
          <w:color w:val="2C3E50"/>
          <w:sz w:val="22"/>
        </w:rPr>
        <w:t>Taxonomie-Analyse:</w:t>
      </w:r>
    </w:p>
    <w:p w14:paraId="3083E157" w14:textId="77777777" w:rsidR="00DE3723" w:rsidRDefault="00DE3723">
      <w:pPr>
        <w:spacing w:after="40"/>
      </w:pPr>
    </w:p>
    <w:p w14:paraId="4E6893C8" w14:textId="77777777" w:rsidR="00DE3723" w:rsidRDefault="00000000">
      <w:pPr>
        <w:spacing w:after="80"/>
      </w:pPr>
      <w:r>
        <w:rPr>
          <w:i/>
        </w:rPr>
        <w:t>Anwendbare Aktivität:</w:t>
      </w:r>
      <w:r>
        <w:t xml:space="preserve"> NACE D35.11 (Erzeugung von Elektrizität aus Sonnenenergie)</w:t>
      </w:r>
    </w:p>
    <w:p w14:paraId="1CFA3CF2" w14:textId="77777777" w:rsidR="00DE3723" w:rsidRDefault="00DE3723">
      <w:pPr>
        <w:spacing w:after="40"/>
      </w:pPr>
    </w:p>
    <w:p w14:paraId="4700C8DC" w14:textId="77777777" w:rsidR="00DE3723" w:rsidRDefault="00000000">
      <w:pPr>
        <w:spacing w:after="80"/>
      </w:pPr>
      <w:r>
        <w:rPr>
          <w:i/>
        </w:rPr>
        <w:t>Substantieller Beitrag:</w:t>
      </w:r>
    </w:p>
    <w:p w14:paraId="04267B90" w14:textId="77777777" w:rsidR="00DE3723" w:rsidRDefault="00000000">
      <w:pPr>
        <w:pStyle w:val="Puntoelenco"/>
        <w:spacing w:after="40"/>
      </w:pPr>
      <w:r>
        <w:rPr>
          <w:sz w:val="20"/>
        </w:rPr>
        <w:lastRenderedPageBreak/>
        <w:t>Stromerzeugung aus Sonnenenergie leistet per Definition substantiellen Beitrag zum Klimaschutz ✅</w:t>
      </w:r>
    </w:p>
    <w:p w14:paraId="535EFC68" w14:textId="77777777" w:rsidR="00DE3723" w:rsidRDefault="00000000">
      <w:pPr>
        <w:pStyle w:val="Puntoelenco"/>
        <w:spacing w:after="40"/>
      </w:pPr>
      <w:r>
        <w:rPr>
          <w:sz w:val="20"/>
        </w:rPr>
        <w:t>Lebenszyklus-THG-Emissionen unter 100 gCO₂e/kWh ✅</w:t>
      </w:r>
    </w:p>
    <w:p w14:paraId="7E060B5A" w14:textId="77777777" w:rsidR="00DE3723" w:rsidRDefault="00DE3723">
      <w:pPr>
        <w:spacing w:after="40"/>
      </w:pPr>
    </w:p>
    <w:p w14:paraId="48EE7946" w14:textId="77777777" w:rsidR="00DE3723" w:rsidRDefault="00000000">
      <w:pPr>
        <w:spacing w:after="80"/>
      </w:pPr>
      <w:r>
        <w:rPr>
          <w:i/>
        </w:rPr>
        <w:t>DNSH-Prüfung:</w:t>
      </w:r>
    </w:p>
    <w:p w14:paraId="7FAF5CC0" w14:textId="77777777" w:rsidR="00DE3723" w:rsidRDefault="00000000">
      <w:pPr>
        <w:pStyle w:val="Puntoelenco"/>
        <w:spacing w:after="40"/>
      </w:pPr>
      <w:r>
        <w:rPr>
          <w:sz w:val="20"/>
        </w:rPr>
        <w:t>Klimaanpassung: PV-Anlage für Extremtemperaturen ausgelegt (Hersteller-Zertifizierung) ✅</w:t>
      </w:r>
    </w:p>
    <w:p w14:paraId="0586284A" w14:textId="77777777" w:rsidR="00DE3723" w:rsidRDefault="00000000">
      <w:pPr>
        <w:pStyle w:val="Puntoelenco"/>
        <w:spacing w:after="40"/>
      </w:pPr>
      <w:r>
        <w:rPr>
          <w:sz w:val="20"/>
        </w:rPr>
        <w:t>Wasser: Keine wesentliche Wassernutzung ✅</w:t>
      </w:r>
    </w:p>
    <w:p w14:paraId="06C46026" w14:textId="77777777" w:rsidR="00DE3723" w:rsidRDefault="00000000">
      <w:pPr>
        <w:pStyle w:val="Puntoelenco"/>
        <w:spacing w:after="40"/>
      </w:pPr>
      <w:r>
        <w:rPr>
          <w:sz w:val="20"/>
        </w:rPr>
        <w:t>Kreislaufwirtschaft: Altmodule-Rücknahmevertrag mit Hersteller ✅</w:t>
      </w:r>
    </w:p>
    <w:p w14:paraId="36A94D4C" w14:textId="77777777" w:rsidR="00DE3723" w:rsidRDefault="00000000">
      <w:pPr>
        <w:pStyle w:val="Puntoelenco"/>
        <w:spacing w:after="40"/>
      </w:pPr>
      <w:r>
        <w:rPr>
          <w:sz w:val="20"/>
        </w:rPr>
        <w:t>Biodiversität: Dachanlage, keine Bodenversiegelung ✅</w:t>
      </w:r>
    </w:p>
    <w:p w14:paraId="18073EFE" w14:textId="77777777" w:rsidR="00DE3723" w:rsidRDefault="00000000">
      <w:pPr>
        <w:pStyle w:val="Puntoelenco"/>
        <w:spacing w:after="40"/>
      </w:pPr>
      <w:r>
        <w:rPr>
          <w:sz w:val="20"/>
        </w:rPr>
        <w:t>Keine Interferenz mit Vogelschutz (Stadtlage, Flachdach) ✅</w:t>
      </w:r>
    </w:p>
    <w:p w14:paraId="69085CB4" w14:textId="77777777" w:rsidR="00DE3723" w:rsidRDefault="00DE3723">
      <w:pPr>
        <w:spacing w:after="40"/>
      </w:pPr>
    </w:p>
    <w:p w14:paraId="00D95BB5" w14:textId="77777777" w:rsidR="00DE3723" w:rsidRDefault="00000000">
      <w:pPr>
        <w:spacing w:after="80"/>
      </w:pPr>
      <w:r>
        <w:rPr>
          <w:i/>
        </w:rPr>
        <w:t>Ergebnis:</w:t>
      </w:r>
      <w:r>
        <w:t xml:space="preserve"> </w:t>
      </w:r>
      <w:r>
        <w:rPr>
          <w:b/>
        </w:rPr>
        <w:t>Taxonomiekonform</w:t>
      </w:r>
      <w:r>
        <w:t xml:space="preserve"> — klare Klassifikation, geringe Dokumentationsanforderung.</w:t>
      </w:r>
    </w:p>
    <w:p w14:paraId="2D9FDAF7" w14:textId="77777777" w:rsidR="00DE3723" w:rsidRDefault="00DE3723">
      <w:pPr>
        <w:spacing w:after="40"/>
      </w:pPr>
    </w:p>
    <w:p w14:paraId="689FEFA6" w14:textId="77777777" w:rsidR="00DE3723" w:rsidRDefault="00000000">
      <w:pPr>
        <w:spacing w:after="80"/>
      </w:pPr>
      <w:r>
        <w:rPr>
          <w:i/>
        </w:rPr>
        <w:t>Finanzierungsimplikation:</w:t>
      </w:r>
      <w:r>
        <w:t xml:space="preserve"> AWS-Förderung Österreich; ESG-Grünanleihe der Raiffeisen Landesbank möglich.</w:t>
      </w:r>
    </w:p>
    <w:p w14:paraId="5AB9A84E" w14:textId="77777777" w:rsidR="00DE3723" w:rsidRDefault="00DE3723">
      <w:pPr>
        <w:spacing w:after="40"/>
      </w:pPr>
    </w:p>
    <w:p w14:paraId="1F7A9733" w14:textId="77777777" w:rsidR="00DE3723" w:rsidRDefault="00000000">
      <w:pPr>
        <w:spacing w:before="160" w:after="160"/>
      </w:pPr>
      <w:r>
        <w:rPr>
          <w:color w:val="CCCCCC"/>
          <w:sz w:val="16"/>
        </w:rPr>
        <w:t>────────────────────────────────────────────────────────────────────────────────</w:t>
      </w:r>
    </w:p>
    <w:p w14:paraId="3D07315B" w14:textId="77777777" w:rsidR="00DE3723" w:rsidRDefault="00DE3723">
      <w:pPr>
        <w:spacing w:after="40"/>
      </w:pPr>
    </w:p>
    <w:p w14:paraId="57FD41E1" w14:textId="77777777" w:rsidR="00DE3723" w:rsidRDefault="00000000">
      <w:pPr>
        <w:spacing w:before="160" w:after="40"/>
      </w:pPr>
      <w:r>
        <w:rPr>
          <w:b/>
          <w:color w:val="5D6D7E"/>
        </w:rPr>
        <w:t>3.3 — Beispiel 3: Neubau eines Bergresorts in Graubünden</w:t>
      </w:r>
    </w:p>
    <w:p w14:paraId="29D53C11" w14:textId="77777777" w:rsidR="00DE3723" w:rsidRDefault="00DE3723">
      <w:pPr>
        <w:spacing w:after="40"/>
      </w:pPr>
    </w:p>
    <w:p w14:paraId="746E1E28" w14:textId="77777777" w:rsidR="00DE3723" w:rsidRDefault="00000000">
      <w:pPr>
        <w:spacing w:after="80"/>
      </w:pPr>
      <w:r>
        <w:rPr>
          <w:b/>
        </w:rPr>
        <w:t>Ausgangssituation:</w:t>
      </w:r>
      <w:r>
        <w:t xml:space="preserve"> Geplanter Neubau 5★-Resort, 45 Suiten, Lage 1.850 m ü.M., Baujahr geplant 2027.</w:t>
      </w:r>
    </w:p>
    <w:p w14:paraId="3F87D766" w14:textId="77777777" w:rsidR="00DE3723" w:rsidRDefault="00DE3723">
      <w:pPr>
        <w:spacing w:after="40"/>
      </w:pPr>
    </w:p>
    <w:p w14:paraId="595F2910" w14:textId="77777777" w:rsidR="00DE3723" w:rsidRDefault="00000000">
      <w:pPr>
        <w:spacing w:before="160" w:after="40"/>
      </w:pPr>
      <w:r>
        <w:rPr>
          <w:b/>
          <w:color w:val="2C3E50"/>
          <w:sz w:val="22"/>
        </w:rPr>
        <w:t>Taxonomie-Analyse:</w:t>
      </w:r>
    </w:p>
    <w:p w14:paraId="32B72FD1" w14:textId="77777777" w:rsidR="00DE3723" w:rsidRDefault="00DE3723">
      <w:pPr>
        <w:spacing w:after="40"/>
      </w:pPr>
    </w:p>
    <w:p w14:paraId="38B23912" w14:textId="77777777" w:rsidR="00DE3723" w:rsidRDefault="00000000">
      <w:pPr>
        <w:spacing w:after="80"/>
      </w:pPr>
      <w:r>
        <w:rPr>
          <w:i/>
        </w:rPr>
        <w:t>Anwendbare Aktivität:</w:t>
      </w:r>
      <w:r>
        <w:t xml:space="preserve"> NACE F41.2 (Bau von Nichtwohngebäuden)</w:t>
      </w:r>
    </w:p>
    <w:p w14:paraId="284440B5" w14:textId="77777777" w:rsidR="00DE3723" w:rsidRDefault="00DE3723">
      <w:pPr>
        <w:spacing w:after="40"/>
      </w:pPr>
    </w:p>
    <w:p w14:paraId="5D731913" w14:textId="77777777" w:rsidR="00DE3723" w:rsidRDefault="00000000">
      <w:pPr>
        <w:spacing w:after="80"/>
      </w:pPr>
      <w:r>
        <w:rPr>
          <w:i/>
        </w:rPr>
        <w:t>Substantieller Beitrag — Energieeffizienz:</w:t>
      </w:r>
    </w:p>
    <w:p w14:paraId="2395C605" w14:textId="77777777" w:rsidR="00DE3723" w:rsidRDefault="00000000">
      <w:pPr>
        <w:pStyle w:val="Puntoelenco"/>
        <w:spacing w:after="40"/>
      </w:pPr>
      <w:r>
        <w:rPr>
          <w:sz w:val="20"/>
        </w:rPr>
        <w:t>Neubau nach MINERGIE-P-Standard geplant (PED ca. 20% unter NZEB-Anforderung) ✅</w:t>
      </w:r>
    </w:p>
    <w:p w14:paraId="43DA78AB" w14:textId="77777777" w:rsidR="00DE3723" w:rsidRDefault="00000000">
      <w:pPr>
        <w:pStyle w:val="Puntoelenco"/>
        <w:spacing w:after="40"/>
      </w:pPr>
      <w:r>
        <w:rPr>
          <w:sz w:val="20"/>
        </w:rPr>
        <w:t>Erdwärmeheizung 100% erneuerbar, PV-Eigenproduktion 80 kWp ✅</w:t>
      </w:r>
    </w:p>
    <w:p w14:paraId="2F542392" w14:textId="77777777" w:rsidR="00DE3723" w:rsidRDefault="00DE3723">
      <w:pPr>
        <w:spacing w:after="40"/>
      </w:pPr>
    </w:p>
    <w:p w14:paraId="49E55DA6" w14:textId="77777777" w:rsidR="00DE3723" w:rsidRDefault="00000000">
      <w:pPr>
        <w:spacing w:after="80"/>
      </w:pPr>
      <w:r>
        <w:rPr>
          <w:i/>
        </w:rPr>
        <w:t>DNSH-Prüfung:</w:t>
      </w:r>
    </w:p>
    <w:p w14:paraId="7F467953" w14:textId="77777777" w:rsidR="00DE3723" w:rsidRDefault="00000000">
      <w:pPr>
        <w:pStyle w:val="Puntoelenco"/>
        <w:spacing w:after="40"/>
      </w:pPr>
      <w:r>
        <w:rPr>
          <w:sz w:val="20"/>
        </w:rPr>
        <w:t>Klimaanpassung: Standort 1.850 m — Permafrost-Assessment erforderlich; Schneelastberechnung nach SIA 261 ✅; Klimarisiken nach ISO 14091 für Bergstandort durchgeführt ✅</w:t>
      </w:r>
    </w:p>
    <w:p w14:paraId="4DA9650E" w14:textId="77777777" w:rsidR="00DE3723" w:rsidRDefault="00000000">
      <w:pPr>
        <w:pStyle w:val="Puntoelenco"/>
        <w:spacing w:after="40"/>
      </w:pPr>
      <w:r>
        <w:rPr>
          <w:sz w:val="20"/>
        </w:rPr>
        <w:t>Wasser: Wassersparende Armaturen; Grauwasser-Recycling für Bewässerung geplant ✅</w:t>
      </w:r>
    </w:p>
    <w:p w14:paraId="7696A652" w14:textId="77777777" w:rsidR="00DE3723" w:rsidRDefault="00000000">
      <w:pPr>
        <w:pStyle w:val="Puntoelenco"/>
        <w:spacing w:after="40"/>
      </w:pPr>
      <w:r>
        <w:rPr>
          <w:sz w:val="20"/>
        </w:rPr>
        <w:t>Kreislaufwirtschaft: Holzbauweise (regional, FSC-zertifiziert) — zirkuläres Baumaterial ✅</w:t>
      </w:r>
    </w:p>
    <w:p w14:paraId="0C7788A2" w14:textId="77777777" w:rsidR="00DE3723" w:rsidRDefault="00000000">
      <w:pPr>
        <w:pStyle w:val="Puntoelenco"/>
        <w:spacing w:after="40"/>
      </w:pPr>
      <w:r>
        <w:rPr>
          <w:sz w:val="20"/>
        </w:rPr>
        <w:t xml:space="preserve">Biodiversität: </w:t>
      </w:r>
      <w:r>
        <w:rPr>
          <w:b/>
          <w:sz w:val="20"/>
        </w:rPr>
        <w:t>Kritischer Punkt</w:t>
      </w:r>
      <w:r>
        <w:rPr>
          <w:sz w:val="20"/>
        </w:rPr>
        <w:t xml:space="preserve"> — Lage in Graubünden erfordert kantonale Umweltverträglichkeitsprüfung; Auswirkungen auf alpine Ökosysteme zu dokumentieren ⚠</w:t>
      </w:r>
    </w:p>
    <w:p w14:paraId="60C1779B" w14:textId="77777777" w:rsidR="00DE3723" w:rsidRDefault="00DE3723">
      <w:pPr>
        <w:spacing w:after="40"/>
      </w:pPr>
    </w:p>
    <w:p w14:paraId="79165D75" w14:textId="77777777" w:rsidR="00DE3723" w:rsidRDefault="00000000">
      <w:pPr>
        <w:spacing w:after="80"/>
      </w:pPr>
      <w:r>
        <w:rPr>
          <w:i/>
        </w:rPr>
        <w:t>Mindestschutzmaßnahmen:</w:t>
      </w:r>
    </w:p>
    <w:p w14:paraId="6A0C3DC6" w14:textId="77777777" w:rsidR="00DE3723" w:rsidRDefault="00000000">
      <w:pPr>
        <w:pStyle w:val="Puntoelenco"/>
        <w:spacing w:after="40"/>
      </w:pPr>
      <w:r>
        <w:rPr>
          <w:sz w:val="20"/>
        </w:rPr>
        <w:lastRenderedPageBreak/>
        <w:t>Schweizer Gesamtarbeitsverträge (GAV) für Baubranche ✅</w:t>
      </w:r>
    </w:p>
    <w:p w14:paraId="72AAC0E6" w14:textId="77777777" w:rsidR="00DE3723" w:rsidRDefault="00DE3723">
      <w:pPr>
        <w:spacing w:after="40"/>
      </w:pPr>
    </w:p>
    <w:p w14:paraId="1BB72DF2" w14:textId="77777777" w:rsidR="00DE3723" w:rsidRDefault="00000000">
      <w:pPr>
        <w:spacing w:after="80"/>
      </w:pPr>
      <w:r>
        <w:rPr>
          <w:i/>
        </w:rPr>
        <w:t>Ergebnis:</w:t>
      </w:r>
      <w:r>
        <w:t xml:space="preserve"> </w:t>
      </w:r>
      <w:r>
        <w:rPr>
          <w:b/>
        </w:rPr>
        <w:t>Potenziell taxonomiekonform</w:t>
      </w:r>
      <w:r>
        <w:t>, wenn Biodiversitäts-Assessment positiv und kantonale UVP-Genehmigung vorliegt. Das Biodiversitätskriterium ist der kritische Pfad für alpine Neubauten.</w:t>
      </w:r>
    </w:p>
    <w:p w14:paraId="5D6A5017" w14:textId="77777777" w:rsidR="00DE3723" w:rsidRDefault="00DE3723">
      <w:pPr>
        <w:spacing w:after="40"/>
      </w:pPr>
    </w:p>
    <w:p w14:paraId="528F5E84" w14:textId="77777777" w:rsidR="00DE3723" w:rsidRDefault="00000000">
      <w:pPr>
        <w:spacing w:after="80"/>
      </w:pPr>
      <w:r>
        <w:rPr>
          <w:i/>
        </w:rPr>
        <w:t>Finanzierungsimplikation:</w:t>
      </w:r>
      <w:r>
        <w:t xml:space="preserve"> Green Bond-Fähigkeit für institutionelle Investoren; UBS/ZKB ESG-Finanzierungsprodukte; SECO-Regionalentwicklungsförderung möglich.</w:t>
      </w:r>
    </w:p>
    <w:p w14:paraId="6129D7D3" w14:textId="77777777" w:rsidR="00DE3723" w:rsidRDefault="00DE3723">
      <w:pPr>
        <w:spacing w:after="40"/>
      </w:pPr>
    </w:p>
    <w:p w14:paraId="1D49ACBF" w14:textId="77777777" w:rsidR="00DE3723" w:rsidRDefault="00000000">
      <w:pPr>
        <w:spacing w:before="160" w:after="160"/>
      </w:pPr>
      <w:r>
        <w:rPr>
          <w:color w:val="CCCCCC"/>
          <w:sz w:val="16"/>
        </w:rPr>
        <w:t>────────────────────────────────────────────────────────────────────────────────</w:t>
      </w:r>
    </w:p>
    <w:p w14:paraId="2E74CEDD" w14:textId="77777777" w:rsidR="00DE3723" w:rsidRDefault="00DE3723">
      <w:pPr>
        <w:spacing w:after="40"/>
      </w:pPr>
    </w:p>
    <w:p w14:paraId="5230C5F5" w14:textId="77777777" w:rsidR="00DE3723" w:rsidRDefault="00000000">
      <w:pPr>
        <w:spacing w:before="160" w:after="40"/>
      </w:pPr>
      <w:r>
        <w:rPr>
          <w:b/>
          <w:color w:val="5D6D7E"/>
        </w:rPr>
        <w:t>3.4 — Beispiel 4: Elektro-Shuttle für Gästetransfer</w:t>
      </w:r>
    </w:p>
    <w:p w14:paraId="34272165" w14:textId="77777777" w:rsidR="00DE3723" w:rsidRDefault="00DE3723">
      <w:pPr>
        <w:spacing w:after="40"/>
      </w:pPr>
    </w:p>
    <w:p w14:paraId="5C38EDEA" w14:textId="77777777" w:rsidR="00DE3723" w:rsidRDefault="00000000">
      <w:pPr>
        <w:spacing w:after="80"/>
      </w:pPr>
      <w:r>
        <w:rPr>
          <w:b/>
        </w:rPr>
        <w:t>Ausgangssituation:</w:t>
      </w:r>
      <w:r>
        <w:t xml:space="preserve"> Vier-Sterne-Hotel Schwarzwald, 80 Zimmer, geplante Anschaffung eines Elektro-Minibusses (9 Sitze) für Bahnhof-Shuttleservice.</w:t>
      </w:r>
    </w:p>
    <w:p w14:paraId="0F0C1C20" w14:textId="77777777" w:rsidR="00DE3723" w:rsidRDefault="00DE3723">
      <w:pPr>
        <w:spacing w:after="40"/>
      </w:pPr>
    </w:p>
    <w:p w14:paraId="5E9FC39A" w14:textId="77777777" w:rsidR="00DE3723" w:rsidRDefault="00000000">
      <w:pPr>
        <w:spacing w:before="160" w:after="40"/>
      </w:pPr>
      <w:r>
        <w:rPr>
          <w:b/>
          <w:color w:val="2C3E50"/>
          <w:sz w:val="22"/>
        </w:rPr>
        <w:t>Taxonomie-Analyse:</w:t>
      </w:r>
    </w:p>
    <w:p w14:paraId="321FCBD4" w14:textId="77777777" w:rsidR="00DE3723" w:rsidRDefault="00DE3723">
      <w:pPr>
        <w:spacing w:after="40"/>
      </w:pPr>
    </w:p>
    <w:p w14:paraId="08DB588A" w14:textId="77777777" w:rsidR="00DE3723" w:rsidRDefault="00000000">
      <w:pPr>
        <w:spacing w:after="80"/>
      </w:pPr>
      <w:r>
        <w:rPr>
          <w:i/>
        </w:rPr>
        <w:t>Anwendbare Aktivität:</w:t>
      </w:r>
      <w:r>
        <w:t xml:space="preserve"> NACE H49.39 (Sonstiger Personenlandverkehr)</w:t>
      </w:r>
    </w:p>
    <w:p w14:paraId="61E05569" w14:textId="77777777" w:rsidR="00DE3723" w:rsidRDefault="00DE3723">
      <w:pPr>
        <w:spacing w:after="40"/>
      </w:pPr>
    </w:p>
    <w:p w14:paraId="76398E95" w14:textId="77777777" w:rsidR="00DE3723" w:rsidRDefault="00000000">
      <w:pPr>
        <w:spacing w:after="80"/>
      </w:pPr>
      <w:r>
        <w:rPr>
          <w:i/>
        </w:rPr>
        <w:t>Substantieller Beitrag:</w:t>
      </w:r>
    </w:p>
    <w:p w14:paraId="191FEA7C" w14:textId="77777777" w:rsidR="00DE3723" w:rsidRDefault="00000000">
      <w:pPr>
        <w:pStyle w:val="Puntoelenco"/>
        <w:spacing w:after="40"/>
      </w:pPr>
      <w:r>
        <w:rPr>
          <w:sz w:val="20"/>
        </w:rPr>
        <w:t>Nullemissionsfahrzeug (BEV) ✅</w:t>
      </w:r>
    </w:p>
    <w:p w14:paraId="7873505D" w14:textId="77777777" w:rsidR="00DE3723" w:rsidRDefault="00000000">
      <w:pPr>
        <w:pStyle w:val="Puntoelenco"/>
        <w:spacing w:after="40"/>
      </w:pPr>
      <w:r>
        <w:rPr>
          <w:sz w:val="20"/>
        </w:rPr>
        <w:t>Ladestrom aus erneuerbaren Energien (HKN-Herkunftsnachweise) ✅</w:t>
      </w:r>
    </w:p>
    <w:p w14:paraId="7ADEFE43" w14:textId="77777777" w:rsidR="00DE3723" w:rsidRDefault="00DE3723">
      <w:pPr>
        <w:spacing w:after="40"/>
      </w:pPr>
    </w:p>
    <w:p w14:paraId="57CD418E" w14:textId="77777777" w:rsidR="00DE3723" w:rsidRDefault="00000000">
      <w:pPr>
        <w:spacing w:after="80"/>
      </w:pPr>
      <w:r>
        <w:rPr>
          <w:i/>
        </w:rPr>
        <w:t>DNSH-Prüfung:</w:t>
      </w:r>
    </w:p>
    <w:p w14:paraId="7858D01B" w14:textId="77777777" w:rsidR="00DE3723" w:rsidRDefault="00000000">
      <w:pPr>
        <w:pStyle w:val="Puntoelenco"/>
        <w:spacing w:after="40"/>
      </w:pPr>
      <w:r>
        <w:rPr>
          <w:sz w:val="20"/>
        </w:rPr>
        <w:t>Klimaanpassung: Fahrzeug für Extremtemperaturen geeignet (Hersteller-Zertifizierung) ✅</w:t>
      </w:r>
    </w:p>
    <w:p w14:paraId="02348EC1" w14:textId="77777777" w:rsidR="00DE3723" w:rsidRDefault="00000000">
      <w:pPr>
        <w:pStyle w:val="Puntoelenco"/>
        <w:spacing w:after="40"/>
      </w:pPr>
      <w:r>
        <w:rPr>
          <w:sz w:val="20"/>
        </w:rPr>
        <w:t>Wasser, Biodiversität: keine wesentliche Exposition ✅</w:t>
      </w:r>
    </w:p>
    <w:p w14:paraId="355527CE" w14:textId="77777777" w:rsidR="00DE3723" w:rsidRDefault="00000000">
      <w:pPr>
        <w:pStyle w:val="Puntoelenco"/>
        <w:spacing w:after="40"/>
      </w:pPr>
      <w:r>
        <w:rPr>
          <w:sz w:val="20"/>
        </w:rPr>
        <w:t>Kreislaufwirtschaft: Batterie-Rücknahme- und Recyclingprogramm des Herstellers ✅</w:t>
      </w:r>
    </w:p>
    <w:p w14:paraId="1EE4CB54" w14:textId="77777777" w:rsidR="00DE3723" w:rsidRDefault="00DE3723">
      <w:pPr>
        <w:spacing w:after="40"/>
      </w:pPr>
    </w:p>
    <w:p w14:paraId="4A59168E" w14:textId="77777777" w:rsidR="00DE3723" w:rsidRDefault="00000000">
      <w:pPr>
        <w:spacing w:after="80"/>
      </w:pPr>
      <w:r>
        <w:rPr>
          <w:i/>
        </w:rPr>
        <w:t>Ergebnis:</w:t>
      </w:r>
      <w:r>
        <w:t xml:space="preserve"> </w:t>
      </w:r>
      <w:r>
        <w:rPr>
          <w:b/>
        </w:rPr>
        <w:t>Taxonomiekonform</w:t>
      </w:r>
      <w:r>
        <w:t xml:space="preserve"> — einfachste Kategorisierung, geringer Dokumentationsaufwand.</w:t>
      </w:r>
    </w:p>
    <w:p w14:paraId="56C31289" w14:textId="77777777" w:rsidR="00DE3723" w:rsidRDefault="00DE3723">
      <w:pPr>
        <w:spacing w:after="40"/>
      </w:pPr>
    </w:p>
    <w:p w14:paraId="14AB0084" w14:textId="77777777" w:rsidR="00DE3723" w:rsidRDefault="00000000">
      <w:pPr>
        <w:spacing w:after="80"/>
      </w:pPr>
      <w:r>
        <w:rPr>
          <w:i/>
        </w:rPr>
        <w:t>Finanzierungsimplikation:</w:t>
      </w:r>
      <w:r>
        <w:t xml:space="preserve"> KfW-Förderung für Elektrofahrzeuge; BAFA-Zuschuss; ESG-Leasing zu reduzierten Konditionen.</w:t>
      </w:r>
    </w:p>
    <w:p w14:paraId="7F3F8D42" w14:textId="77777777" w:rsidR="00DE3723" w:rsidRDefault="00DE3723">
      <w:pPr>
        <w:spacing w:after="40"/>
      </w:pPr>
    </w:p>
    <w:p w14:paraId="441B1DDA" w14:textId="77777777" w:rsidR="00DE3723" w:rsidRDefault="00000000">
      <w:pPr>
        <w:spacing w:before="160" w:after="160"/>
      </w:pPr>
      <w:r>
        <w:rPr>
          <w:color w:val="CCCCCC"/>
          <w:sz w:val="16"/>
        </w:rPr>
        <w:t>────────────────────────────────────────────────────────────────────────────────</w:t>
      </w:r>
    </w:p>
    <w:p w14:paraId="5F551E38" w14:textId="77777777" w:rsidR="00DE3723" w:rsidRDefault="00DE3723">
      <w:pPr>
        <w:spacing w:after="40"/>
      </w:pPr>
    </w:p>
    <w:p w14:paraId="5F752501" w14:textId="77777777" w:rsidR="00DE3723" w:rsidRDefault="00000000">
      <w:pPr>
        <w:spacing w:before="200" w:after="60"/>
      </w:pPr>
      <w:r>
        <w:rPr>
          <w:b/>
          <w:color w:val="445A6F"/>
          <w:sz w:val="22"/>
        </w:rPr>
        <w:t>Abschnitt 4 — Praktische Schritte zur Taxonomie-Konformitätsbewertung</w:t>
      </w:r>
    </w:p>
    <w:p w14:paraId="2C198F53" w14:textId="77777777" w:rsidR="00DE3723" w:rsidRDefault="00DE3723">
      <w:pPr>
        <w:spacing w:after="40"/>
      </w:pPr>
    </w:p>
    <w:p w14:paraId="6B9C3592" w14:textId="77777777" w:rsidR="00DE3723" w:rsidRDefault="00000000">
      <w:pPr>
        <w:spacing w:before="160" w:after="40"/>
      </w:pPr>
      <w:r>
        <w:rPr>
          <w:b/>
          <w:color w:val="5D6D7E"/>
        </w:rPr>
        <w:lastRenderedPageBreak/>
        <w:t>Schritt-für-Schritt-Leitfaden für Hotels</w:t>
      </w:r>
    </w:p>
    <w:p w14:paraId="62C01ABF" w14:textId="77777777" w:rsidR="00DE3723" w:rsidRDefault="00DE3723">
      <w:pPr>
        <w:spacing w:after="40"/>
      </w:pPr>
    </w:p>
    <w:p w14:paraId="7ECF0333" w14:textId="77777777" w:rsidR="00DE3723" w:rsidRDefault="00000000">
      <w:pPr>
        <w:spacing w:before="160" w:after="40"/>
      </w:pPr>
      <w:r>
        <w:rPr>
          <w:b/>
          <w:color w:val="2C3E50"/>
          <w:sz w:val="22"/>
        </w:rPr>
        <w:t>Schritt 1 — Aktivitätsidentifikation:</w:t>
      </w:r>
    </w:p>
    <w:p w14:paraId="66BAB85B" w14:textId="77777777" w:rsidR="00DE3723" w:rsidRDefault="00000000">
      <w:pPr>
        <w:spacing w:after="80"/>
      </w:pPr>
      <w:r>
        <w:t>Welche NACE-Aktivitäten führt das Hotel durch? Für die meisten Hotels: I55 (Beherbergung) als Hauptaktivität, ergänzt durch F41 (wenn Renovierungen geplant), D35.11 (wenn PV-Anlage vorhanden), H49 (wenn Gästetransport).</w:t>
      </w:r>
    </w:p>
    <w:p w14:paraId="243F6C94" w14:textId="77777777" w:rsidR="00DE3723" w:rsidRDefault="00DE3723">
      <w:pPr>
        <w:spacing w:after="40"/>
      </w:pPr>
    </w:p>
    <w:p w14:paraId="3035245C" w14:textId="77777777" w:rsidR="00DE3723" w:rsidRDefault="00000000">
      <w:pPr>
        <w:spacing w:before="160" w:after="40"/>
      </w:pPr>
      <w:r>
        <w:rPr>
          <w:b/>
          <w:color w:val="2C3E50"/>
          <w:sz w:val="22"/>
        </w:rPr>
        <w:t>Schritt 2 — Wesentlichkeitsfilter:</w:t>
      </w:r>
    </w:p>
    <w:p w14:paraId="01C0B8EA" w14:textId="77777777" w:rsidR="00DE3723" w:rsidRDefault="00000000">
      <w:pPr>
        <w:spacing w:after="80"/>
      </w:pPr>
      <w:r>
        <w:t>Welche Aktivitäten überschreiten die Wesentlichkeitsschwelle für die Taxonomie-Offenlegung? (Relevant primär für CSRD-pflichtige Hotels)</w:t>
      </w:r>
    </w:p>
    <w:p w14:paraId="5982942A" w14:textId="77777777" w:rsidR="00DE3723" w:rsidRDefault="00DE3723">
      <w:pPr>
        <w:spacing w:after="40"/>
      </w:pPr>
    </w:p>
    <w:p w14:paraId="017B0115" w14:textId="77777777" w:rsidR="00DE3723" w:rsidRDefault="00000000">
      <w:pPr>
        <w:spacing w:before="160" w:after="40"/>
      </w:pPr>
      <w:r>
        <w:rPr>
          <w:b/>
          <w:color w:val="2C3E50"/>
          <w:sz w:val="22"/>
        </w:rPr>
        <w:t>Schritt 3 — TSC-Prüfung pro Aktivität:</w:t>
      </w:r>
    </w:p>
    <w:p w14:paraId="66E5235F" w14:textId="77777777" w:rsidR="00DE3723" w:rsidRDefault="00000000">
      <w:pPr>
        <w:spacing w:after="80"/>
      </w:pPr>
      <w:r>
        <w:t>Für jede wesentliche Aktivität: Erfüllung der Technischen Bewertungskriterien für den substantiellen Beitrag verifizieren.</w:t>
      </w:r>
    </w:p>
    <w:p w14:paraId="7F8ADBCF" w14:textId="77777777" w:rsidR="00DE3723" w:rsidRDefault="00DE3723">
      <w:pPr>
        <w:spacing w:after="40"/>
      </w:pPr>
    </w:p>
    <w:p w14:paraId="0D1F99E0" w14:textId="77777777" w:rsidR="00DE3723" w:rsidRDefault="00000000">
      <w:pPr>
        <w:spacing w:before="160" w:after="40"/>
      </w:pPr>
      <w:r>
        <w:rPr>
          <w:b/>
          <w:color w:val="2C3E50"/>
          <w:sz w:val="22"/>
        </w:rPr>
        <w:t>Schritt 4 — DNSH-Prüfung:</w:t>
      </w:r>
    </w:p>
    <w:p w14:paraId="105EDBA7" w14:textId="77777777" w:rsidR="00DE3723" w:rsidRDefault="00000000">
      <w:pPr>
        <w:spacing w:after="80"/>
      </w:pPr>
      <w:r>
        <w:t>Für alle fünf anderen Umweltziele: Keine erhebliche Beeinträchtigung dokumentieren.</w:t>
      </w:r>
    </w:p>
    <w:p w14:paraId="221D4EC4" w14:textId="77777777" w:rsidR="00DE3723" w:rsidRDefault="00DE3723">
      <w:pPr>
        <w:spacing w:after="40"/>
      </w:pPr>
    </w:p>
    <w:p w14:paraId="5963786A" w14:textId="77777777" w:rsidR="00DE3723" w:rsidRDefault="00000000">
      <w:pPr>
        <w:spacing w:before="160" w:after="40"/>
      </w:pPr>
      <w:r>
        <w:rPr>
          <w:b/>
          <w:color w:val="2C3E50"/>
          <w:sz w:val="22"/>
        </w:rPr>
        <w:t>Schritt 5 — Mindestschutzmaßnahmen:</w:t>
      </w:r>
    </w:p>
    <w:p w14:paraId="580F51B9" w14:textId="77777777" w:rsidR="00DE3723" w:rsidRDefault="00000000">
      <w:pPr>
        <w:spacing w:after="80"/>
      </w:pPr>
      <w:r>
        <w:t>Nachweis der Kohärenz mit OECD-Leitsätzen und UN-Leitprinzipien.</w:t>
      </w:r>
    </w:p>
    <w:p w14:paraId="5EBF1087" w14:textId="77777777" w:rsidR="00DE3723" w:rsidRDefault="00DE3723">
      <w:pPr>
        <w:spacing w:after="40"/>
      </w:pPr>
    </w:p>
    <w:p w14:paraId="62EA0194" w14:textId="77777777" w:rsidR="00DE3723" w:rsidRDefault="00000000">
      <w:pPr>
        <w:spacing w:before="160" w:after="40"/>
      </w:pPr>
      <w:r>
        <w:rPr>
          <w:b/>
          <w:color w:val="2C3E50"/>
          <w:sz w:val="22"/>
        </w:rPr>
        <w:t>Schritt 6 — Dokumentation und Offenlegung:</w:t>
      </w:r>
    </w:p>
    <w:p w14:paraId="464B723E" w14:textId="77777777" w:rsidR="00DE3723" w:rsidRDefault="00000000">
      <w:pPr>
        <w:spacing w:after="80"/>
      </w:pPr>
      <w:r>
        <w:t>Taxonomie-Quote berechnen: Anteil der taxonomiekonformen Umsätze, Kapitalausgaben (CapEx) und Betriebsausgaben (OpEx) am Gesamtbetrag.</w:t>
      </w:r>
    </w:p>
    <w:p w14:paraId="576A8871" w14:textId="77777777" w:rsidR="00DE3723" w:rsidRDefault="00DE3723">
      <w:pPr>
        <w:spacing w:after="40"/>
      </w:pPr>
    </w:p>
    <w:p w14:paraId="2D0141AD" w14:textId="77777777" w:rsidR="00DE3723" w:rsidRDefault="00000000">
      <w:pPr>
        <w:spacing w:before="160" w:after="160"/>
      </w:pPr>
      <w:r>
        <w:rPr>
          <w:color w:val="CCCCCC"/>
          <w:sz w:val="16"/>
        </w:rPr>
        <w:t>────────────────────────────────────────────────────────────────────────────────</w:t>
      </w:r>
    </w:p>
    <w:p w14:paraId="24414F88" w14:textId="77777777" w:rsidR="00DE3723" w:rsidRDefault="00DE3723">
      <w:pPr>
        <w:spacing w:after="40"/>
      </w:pPr>
    </w:p>
    <w:p w14:paraId="7894EB65" w14:textId="77777777" w:rsidR="00DE3723" w:rsidRDefault="00000000">
      <w:pPr>
        <w:spacing w:before="200" w:after="60"/>
      </w:pPr>
      <w:r>
        <w:rPr>
          <w:b/>
          <w:color w:val="445A6F"/>
          <w:sz w:val="22"/>
        </w:rPr>
        <w:t>Abschnitt 5 — Häufig gestellte Fragen (FAQ)</w:t>
      </w:r>
    </w:p>
    <w:p w14:paraId="04177D7A" w14:textId="77777777" w:rsidR="00DE3723" w:rsidRDefault="00DE3723">
      <w:pPr>
        <w:spacing w:after="40"/>
      </w:pPr>
    </w:p>
    <w:p w14:paraId="1435677F" w14:textId="77777777" w:rsidR="00DE3723" w:rsidRDefault="00000000">
      <w:pPr>
        <w:spacing w:before="160" w:after="40"/>
      </w:pPr>
      <w:r>
        <w:rPr>
          <w:b/>
          <w:color w:val="2C3E50"/>
          <w:sz w:val="22"/>
        </w:rPr>
        <w:t>F: Muss mein Hotel die EU-Taxonomie anwenden, wenn es nicht CSRD-pflichtig ist?</w:t>
      </w:r>
    </w:p>
    <w:p w14:paraId="5FD03320" w14:textId="77777777" w:rsidR="00DE3723" w:rsidRDefault="00000000">
      <w:pPr>
        <w:spacing w:after="80"/>
      </w:pPr>
      <w:r>
        <w:t>A: Nicht als gesetzliche Pflicht. Aber die Taxonomie-Kriterien werden zunehmend von Banken und Investoren als Grundlage für ESG-Finanzierungsprodukte verwendet — unabhängig von der CSRD-Pflicht. Ein Hotel, das Taxonomiekonformität nachweisen kann, hat Zugang zu günstigeren Finanzierungsbedingungen.</w:t>
      </w:r>
    </w:p>
    <w:p w14:paraId="5146311C" w14:textId="77777777" w:rsidR="00DE3723" w:rsidRDefault="00DE3723">
      <w:pPr>
        <w:spacing w:after="40"/>
      </w:pPr>
    </w:p>
    <w:p w14:paraId="0CD6DAE3" w14:textId="77777777" w:rsidR="00DE3723" w:rsidRDefault="00000000">
      <w:pPr>
        <w:spacing w:before="160" w:after="40"/>
      </w:pPr>
      <w:r>
        <w:rPr>
          <w:b/>
          <w:color w:val="2C3E50"/>
          <w:sz w:val="22"/>
        </w:rPr>
        <w:t>F: Gilt die Taxonomie auch für die Schweiz?</w:t>
      </w:r>
    </w:p>
    <w:p w14:paraId="2997F688" w14:textId="77777777" w:rsidR="00DE3723" w:rsidRDefault="00000000">
      <w:pPr>
        <w:spacing w:after="80"/>
      </w:pPr>
      <w:r>
        <w:lastRenderedPageBreak/>
        <w:t>A: Die Schweiz ist nicht direkt gebunden. Aber: Schweizer institutionelle Investoren (Pensionskassen, Versicherungen) wenden zunehmend taxonomieähnliche Kriterien an. Die SIX Swiss Exchange empfiehlt die Taxonomie-Berichterstattung für kotierte Unternehmen. Und internationale Gäste aus EU-Ländern bringen die Taxonomie-Erwartungen mit.</w:t>
      </w:r>
    </w:p>
    <w:p w14:paraId="45D97E7F" w14:textId="77777777" w:rsidR="00DE3723" w:rsidRDefault="00DE3723">
      <w:pPr>
        <w:spacing w:after="40"/>
      </w:pPr>
    </w:p>
    <w:p w14:paraId="43D6A5BA" w14:textId="77777777" w:rsidR="00DE3723" w:rsidRDefault="00000000">
      <w:pPr>
        <w:spacing w:before="160" w:after="40"/>
      </w:pPr>
      <w:r>
        <w:rPr>
          <w:b/>
          <w:color w:val="2C3E50"/>
          <w:sz w:val="22"/>
        </w:rPr>
        <w:t>F: Was ist der Unterschied zwischen ISO 14001:2026-Zertifizierung und EU-Taxonomie-Konformität?</w:t>
      </w:r>
    </w:p>
    <w:p w14:paraId="1CA0B760" w14:textId="77777777" w:rsidR="00DE3723" w:rsidRDefault="00000000">
      <w:pPr>
        <w:spacing w:after="80"/>
      </w:pPr>
      <w:r>
        <w:t>A: Zwei komplementäre, aber verschiedene Instrumente. ISO 14001:2026 ist ein Managementsystem-Standard — er bewertet die Qualität des Systems, das Umweltaspekte managt. Die EU-Taxonomie ist ein Klassifizierungssystem für wirtschaftliche Aktivitäten — sie bewertet das Ergebnis (ist die Aktivität ökologisch nachhaltig?). Ein gutes ISO-14001:2026-System liefert die Daten und die Governance-Struktur, die für die Taxonomie-Bewertung benötigt werden.</w:t>
      </w:r>
    </w:p>
    <w:p w14:paraId="5CA79971" w14:textId="77777777" w:rsidR="00DE3723" w:rsidRDefault="00DE3723">
      <w:pPr>
        <w:spacing w:after="40"/>
      </w:pPr>
    </w:p>
    <w:p w14:paraId="24B66D67" w14:textId="77777777" w:rsidR="00DE3723" w:rsidRDefault="00000000">
      <w:pPr>
        <w:spacing w:before="160" w:after="40"/>
      </w:pPr>
      <w:r>
        <w:rPr>
          <w:b/>
          <w:color w:val="2C3E50"/>
          <w:sz w:val="22"/>
        </w:rPr>
        <w:t>F: Wie aufwändig ist die Taxonomie-Bewertung?</w:t>
      </w:r>
    </w:p>
    <w:p w14:paraId="058FCABC" w14:textId="77777777" w:rsidR="00DE3723" w:rsidRDefault="00000000">
      <w:pPr>
        <w:spacing w:after="80"/>
      </w:pPr>
      <w:r>
        <w:t>A: Das hängt stark von der Aktivität ab. PV-Anlage oder Elektrofahrzeug: geringe Dokumentationsanforderung, klare TSC. Vollsanierung eines großen Hotels: bedeutender Aufwand für das Klimarisiken-Assessment und die Energieeffizienz-Dokumentation. Erstbewertung durch einen Spezialberater: typisch 3.000–8.000 EUR für ein Hotel mittlerer Komplexität.</w:t>
      </w:r>
    </w:p>
    <w:p w14:paraId="78613841" w14:textId="77777777" w:rsidR="00DE3723" w:rsidRDefault="00DE3723">
      <w:pPr>
        <w:spacing w:after="40"/>
      </w:pPr>
    </w:p>
    <w:p w14:paraId="44B80B07" w14:textId="77777777" w:rsidR="00DE3723" w:rsidRDefault="00000000">
      <w:pPr>
        <w:spacing w:before="160" w:after="160"/>
      </w:pPr>
      <w:r>
        <w:rPr>
          <w:color w:val="CCCCCC"/>
          <w:sz w:val="16"/>
        </w:rPr>
        <w:t>────────────────────────────────────────────────────────────────────────────────</w:t>
      </w:r>
    </w:p>
    <w:p w14:paraId="638BD74B" w14:textId="77777777" w:rsidR="00DE3723" w:rsidRDefault="00DE3723">
      <w:pPr>
        <w:spacing w:after="40"/>
      </w:pPr>
    </w:p>
    <w:p w14:paraId="06CF4A97" w14:textId="77777777" w:rsidR="00DE3723" w:rsidRDefault="00000000">
      <w:pPr>
        <w:spacing w:before="200" w:after="60"/>
      </w:pPr>
      <w:r>
        <w:rPr>
          <w:b/>
          <w:color w:val="445A6F"/>
          <w:sz w:val="22"/>
        </w:rPr>
        <w:t>Geplante Aktualisierungen</w:t>
      </w:r>
    </w:p>
    <w:p w14:paraId="596D3D60" w14:textId="77777777" w:rsidR="00DE3723" w:rsidRDefault="00DE3723">
      <w:pPr>
        <w:spacing w:after="40"/>
      </w:pPr>
    </w:p>
    <w:p w14:paraId="4ED86065" w14:textId="77777777" w:rsidR="00DE3723" w:rsidRDefault="00000000">
      <w:pPr>
        <w:spacing w:after="80"/>
      </w:pPr>
      <w:r>
        <w:t>Dieses Dokument wird aktualisiert bei:</w:t>
      </w:r>
    </w:p>
    <w:p w14:paraId="5DF6D855" w14:textId="77777777" w:rsidR="00DE3723" w:rsidRDefault="00000000">
      <w:pPr>
        <w:pStyle w:val="Puntoelenco"/>
        <w:spacing w:after="40"/>
      </w:pPr>
      <w:r>
        <w:rPr>
          <w:sz w:val="20"/>
        </w:rPr>
        <w:t>Änderungen der Delegierten Verordnungen zur EU-Taxonomie (neue Aktivitäten, geänderte TSC)</w:t>
      </w:r>
    </w:p>
    <w:p w14:paraId="61D62652" w14:textId="77777777" w:rsidR="00DE3723" w:rsidRDefault="00000000">
      <w:pPr>
        <w:pStyle w:val="Puntoelenco"/>
        <w:spacing w:after="40"/>
      </w:pPr>
      <w:r>
        <w:rPr>
          <w:sz w:val="20"/>
        </w:rPr>
        <w:t>Relevanten EFRAG-Interpretationsveröffentlichungen</w:t>
      </w:r>
    </w:p>
    <w:p w14:paraId="6F88F1C6" w14:textId="77777777" w:rsidR="00DE3723" w:rsidRDefault="00000000">
      <w:pPr>
        <w:pStyle w:val="Puntoelenco"/>
        <w:spacing w:after="40"/>
      </w:pPr>
      <w:r>
        <w:rPr>
          <w:sz w:val="20"/>
        </w:rPr>
        <w:t>Wesentlichen nationalen DACH-Umsetzungsentwicklungen</w:t>
      </w:r>
    </w:p>
    <w:p w14:paraId="73B03EE6" w14:textId="77777777" w:rsidR="00DE3723" w:rsidRDefault="00000000">
      <w:pPr>
        <w:pStyle w:val="Puntoelenco"/>
        <w:spacing w:after="40"/>
      </w:pPr>
      <w:r>
        <w:rPr>
          <w:sz w:val="20"/>
        </w:rPr>
        <w:t>Jährlich, in jedem Fall</w:t>
      </w:r>
    </w:p>
    <w:p w14:paraId="4B69F511" w14:textId="77777777" w:rsidR="00DE3723" w:rsidRDefault="00DE3723">
      <w:pPr>
        <w:spacing w:after="40"/>
      </w:pPr>
    </w:p>
    <w:p w14:paraId="3AEB5C3A" w14:textId="77777777" w:rsidR="00DE3723" w:rsidRDefault="00000000">
      <w:pPr>
        <w:spacing w:after="80"/>
      </w:pPr>
      <w:r>
        <w:rPr>
          <w:i/>
        </w:rPr>
        <w:t>Dokument erstellt von Francesco Dore — buecher.effedore.com</w:t>
      </w:r>
    </w:p>
    <w:p w14:paraId="723DE8BF" w14:textId="77777777" w:rsidR="00DE3723" w:rsidRDefault="00000000">
      <w:pPr>
        <w:spacing w:after="80"/>
      </w:pPr>
      <w:r>
        <w:rPr>
          <w:i/>
        </w:rPr>
        <w:t>Schriftenreihe „Das Steuer und die Lupe" — ISO 14001:2026 — Umweltmanagementsysteme für das Gastgewerbe DACH</w:t>
      </w:r>
    </w:p>
    <w:sectPr w:rsidR="00DE3723"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2082290946">
    <w:abstractNumId w:val="8"/>
  </w:num>
  <w:num w:numId="2" w16cid:durableId="630600131">
    <w:abstractNumId w:val="6"/>
  </w:num>
  <w:num w:numId="3" w16cid:durableId="1927105922">
    <w:abstractNumId w:val="5"/>
  </w:num>
  <w:num w:numId="4" w16cid:durableId="992683913">
    <w:abstractNumId w:val="4"/>
  </w:num>
  <w:num w:numId="5" w16cid:durableId="2112780555">
    <w:abstractNumId w:val="7"/>
  </w:num>
  <w:num w:numId="6" w16cid:durableId="758910992">
    <w:abstractNumId w:val="3"/>
  </w:num>
  <w:num w:numId="7" w16cid:durableId="645167571">
    <w:abstractNumId w:val="2"/>
  </w:num>
  <w:num w:numId="8" w16cid:durableId="1122305841">
    <w:abstractNumId w:val="1"/>
  </w:num>
  <w:num w:numId="9" w16cid:durableId="161293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14F65"/>
    <w:rsid w:val="00AA1D8D"/>
    <w:rsid w:val="00AA3CD8"/>
    <w:rsid w:val="00B47730"/>
    <w:rsid w:val="00CB0664"/>
    <w:rsid w:val="00DE37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FFBFB2"/>
  <w14:defaultImageDpi w14:val="300"/>
  <w15:docId w15:val="{D8ADA5D9-1149-4F1A-AB53-C544341B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00"/>
    </w:pPr>
    <w:rPr>
      <w:rFonts w:ascii="Georgia" w:hAnsi="Georgia"/>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3986</Words>
  <Characters>22722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Francesco Dore</cp:lastModifiedBy>
  <cp:revision>2</cp:revision>
  <dcterms:created xsi:type="dcterms:W3CDTF">2026-05-20T23:33:00Z</dcterms:created>
  <dcterms:modified xsi:type="dcterms:W3CDTF">2026-05-20T23:33:00Z</dcterms:modified>
  <cp:category/>
</cp:coreProperties>
</file>