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left"/>
      </w:pPr>
      <w:r>
        <w:rPr>
          <w:rFonts w:ascii="Georgia" w:cs="Georgia" w:eastAsia="Georgia" w:hAnsi="Georgia"/>
          <w:b/>
          <w:bCs/>
          <w:color w:val="B87333"/>
          <w:spacing w:val="60"/>
          <w:sz w:val="28"/>
          <w:szCs w:val="28"/>
        </w:rPr>
        <w:t xml:space="preserve">STICHPROBENMETHODIK FÜR KONTINUIERLICHE UMWELTDATEN</w:t>
      </w:r>
    </w:p>
    <w:p>
      <w:pPr>
        <w:spacing w:after="40" w:before="0"/>
        <w:jc w:val="left"/>
      </w:pPr>
      <w:r>
        <w:rPr>
          <w:rFonts w:ascii="Georgia" w:cs="Georgia" w:eastAsia="Georgia" w:hAnsi="Georgia"/>
          <w:i/>
          <w:iCs/>
          <w:color w:val="1A1A2E"/>
          <w:sz w:val="22"/>
          <w:szCs w:val="22"/>
        </w:rPr>
        <w:t xml:space="preserve">Statistische Grundlagen für die Verifikation von Umweltüberwachungsdaten im Hotelsektor</w:t>
      </w:r>
    </w:p>
    <w:p>
      <w:pPr>
        <w:shd w:fill="F5ECD7" w:color="auto" w:val="clear"/>
        <w:spacing w:after="200" w:before="0"/>
        <w:ind w:left="160" w:right="160"/>
        <w:jc w:val="left"/>
      </w:pPr>
      <w:r>
        <w:rPr>
          <w:rFonts w:ascii="Georgia" w:cs="Georgia" w:eastAsia="Georgia" w:hAnsi="Georgia"/>
          <w:b/>
          <w:bCs/>
          <w:color w:val="B87333"/>
          <w:sz w:val="17"/>
          <w:szCs w:val="17"/>
        </w:rPr>
        <w:t xml:space="preserve">Referenz: ISO 14001:2026 Klausel 9.1 | ISO 19011:2018 Abschnitt 6.4 | GHG Protocol: Data Quality Chapter</w:t>
      </w:r>
    </w:p>
    <w:p>
      <w:pPr>
        <w:pBdr>
          <w:bottom w:val="single" w:color="B87333" w:sz="4" w:space="1"/>
        </w:pBdr>
        <w:spacing w:after="80" w:before="60"/>
      </w:pPr>
      <w:r>
        <w:t xml:space="preserve"/>
      </w:r>
    </w:p>
    <w:p>
      <w:pPr>
        <w:shd w:fill="EBF5FB" w:color="auto" w:val="clear"/>
        <w:spacing w:after="120" w:before="120" w:line="264" w:lineRule="auto"/>
        <w:ind w:left="200" w:right="200"/>
        <w:jc w:val="both"/>
      </w:pPr>
      <w:r>
        <w:rPr>
          <w:rFonts w:ascii="Georgia" w:cs="Georgia" w:eastAsia="Georgia" w:hAnsi="Georgia"/>
          <w:i/>
          <w:iCs/>
          <w:color w:val="1A1A2E"/>
          <w:sz w:val="17"/>
          <w:szCs w:val="17"/>
        </w:rPr>
        <w:t xml:space="preserve">Version 1.0 | Das Steuer und die Lupe — Band 1b | buecher.effedore.com</w:t>
      </w:r>
    </w:p>
    <w:p>
      <w:pPr>
        <w:spacing w:after="0" w:before="80"/>
      </w:pPr>
      <w:r>
        <w:t xml:space="preserve"/>
      </w:r>
    </w:p>
    <w:p>
      <w:pPr>
        <w:spacing w:after="80" w:before="300"/>
        <w:jc w:val="left"/>
      </w:pPr>
      <w:r>
        <w:rPr>
          <w:rFonts w:ascii="Georgia" w:cs="Georgia" w:eastAsia="Georgia" w:hAnsi="Georgia"/>
          <w:b/>
          <w:bCs/>
          <w:color w:val="B87333"/>
          <w:sz w:val="22"/>
          <w:szCs w:val="22"/>
        </w:rPr>
        <w:t xml:space="preserve">Einleitung: Warum Stichprobenverifikation?</w:t>
      </w:r>
    </w:p>
    <w:p>
      <w:pPr>
        <w:pBdr>
          <w:bottom w:val="single" w:color="CCCCCC" w:sz="4" w:space="1"/>
        </w:pBdr>
        <w:spacing w:after="80" w:before="60"/>
      </w:pPr>
      <w:r>
        <w:t xml:space="preserve"/>
      </w:r>
    </w:p>
    <w:p>
      <w:pPr>
        <w:spacing w:after="100" w:before="60" w:line="276" w:lineRule="auto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A2E"/>
          <w:sz w:val="20"/>
          <w:szCs w:val="20"/>
        </w:rPr>
        <w:t xml:space="preserve">Kontinuierliche Umweltüberwachungssysteme produzieren im Hotelsektor Datenvolumina, die eine vollständige manuelle Verifikation aller Einzelmesswerte nicht praktikabel machen. Ein Energieüberwachungssystem mit 15-Minuten-Auflösung auf 20 Datenpunkten produziert über ein Jahr hinweg rund 700.000 Datensätze. Die vollständige manuelle Überprüfung dieses Volumens wäre unverhältnismäßig — und statistisch nicht notwendig.</w:t>
      </w:r>
    </w:p>
    <w:p>
      <w:pPr>
        <w:spacing w:after="100" w:before="60" w:line="276" w:lineRule="auto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A2E"/>
          <w:sz w:val="20"/>
          <w:szCs w:val="20"/>
        </w:rPr>
        <w:t xml:space="preserve">Die Stichprobenmethodik ermöglicht es dem internen Auditor und dem externen Verifikator, mit definierter statistischer Sicherheit Aussagen über die Gesamtdatenqualität zu treffen, ohne jeden Einzelwert zu prüfen. ISO 19011:2018 (Abschnitt 6.4 — Stichprobenaudit) und das GHG Protocol liefern die methodologischen Grundlagen.</w:t>
      </w:r>
    </w:p>
    <w:p>
      <w:pPr>
        <w:spacing w:after="80" w:before="300"/>
        <w:jc w:val="left"/>
      </w:pPr>
      <w:r>
        <w:rPr>
          <w:rFonts w:ascii="Georgia" w:cs="Georgia" w:eastAsia="Georgia" w:hAnsi="Georgia"/>
          <w:b/>
          <w:bCs/>
          <w:color w:val="B87333"/>
          <w:sz w:val="22"/>
          <w:szCs w:val="22"/>
        </w:rPr>
        <w:t xml:space="preserve">1. Grundbegriffe der Stichprobentheorie für Umweltdaten</w:t>
      </w:r>
    </w:p>
    <w:p>
      <w:pPr>
        <w:pBdr>
          <w:bottom w:val="single" w:color="CCCCCC" w:sz="4" w:space="1"/>
        </w:pBdr>
        <w:spacing w:after="80" w:before="60"/>
      </w:pPr>
      <w:r>
        <w:t xml:space="preserve"/>
      </w:r>
    </w:p>
    <w:p>
      <w:pPr>
        <w:spacing w:after="60" w:before="160"/>
        <w:jc w:val="left"/>
      </w:pPr>
      <w:r>
        <w:rPr>
          <w:rFonts w:ascii="Georgia" w:cs="Georgia" w:eastAsia="Georgia" w:hAnsi="Georgia"/>
          <w:b/>
          <w:bCs/>
          <w:i/>
          <w:iCs/>
          <w:color w:val="1A1A2E"/>
          <w:sz w:val="20"/>
          <w:szCs w:val="20"/>
        </w:rPr>
        <w:t xml:space="preserve">1.1 Konfidenzintervall und Stichprobengröße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Konfidenzintervall: Das Konfidenzintervall beschreibt den Bereich, innerhalb dessen der wahre Wert (z.B. der tatsächliche Jahresenergieverbrauch) mit einer definierten Wahrscheinlichkeit liegt. Standard für ESG-Disclosure: 95%-Konfidenzintervall (d.h. in 95 von 100 Stichproben liegt der wahre Wert innerhalb des angegebenen Bereichs).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Stichprobengröße: Die benötigte Stichprobengröße n hängt ab von: Konfidenzgrad (z-Wert: 1,96 für 95%), gewünschter Fehlermarge (e: typisch ±5% für Energiedaten), geschätzter Populationsstandardabweichung (σ). Faustformel für große Populationen: n = (z × σ / e)². Für normalverteilte Energieverbrauchsdaten mit typischer Standardabweichung von 15% des Mittelwertes und 95%-Konfidenz: n ≈ 35 Datenpunkte pro Periode ausreichend für ±5%-Fehlermarge.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Praktische Implikation für den internen Auditor: Für die monatliche Plausibilitätsprüfung von Energiedaten genügt die Verifikation von 35–50 zufällig ausgewählten Tageswerten pro Quartal — statistisch ausreichend für eine 95%-Konfidenzsaussage über die Gesamtdatenqualität des Quartals.</w:t>
      </w:r>
    </w:p>
    <w:p>
      <w:pPr>
        <w:spacing w:after="60" w:before="160"/>
        <w:jc w:val="left"/>
      </w:pPr>
      <w:r>
        <w:rPr>
          <w:rFonts w:ascii="Georgia" w:cs="Georgia" w:eastAsia="Georgia" w:hAnsi="Georgia"/>
          <w:b/>
          <w:bCs/>
          <w:i/>
          <w:iCs/>
          <w:color w:val="1A1A2E"/>
          <w:sz w:val="20"/>
          <w:szCs w:val="20"/>
        </w:rPr>
        <w:t xml:space="preserve">1.2 Datenverteilungen bei Umweltdaten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Energieverbrauchsdaten: Typischerweise annähernd normalverteilt mit saisonaler Komponente. Für die Stichprobenziehung: geschichtete Stichprobe (stratified sampling) nach Saison empfohlen — separate Stichproben für Haupt- und Nebensaison, um saisonale Verzerrungen zu vermeiden.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Wasserverbrauchsdaten: Häufig rechtsschief verteilt (wenige Extremereignisse dominieren den Mittelwert). Für die Verifikation: Median als robusteres Lagemaß als Mittelwert. Ausreißer &gt; 3σ vom Mittelwert separat auf Plausibilität prüfen.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Abfalldaten aus Wiegesystemen: Diskontinuierlich und stark ereignisabhängig (Großveranstaltungen). Stratifizierung nach Veranstaltungstyp (Konferenz, Incentive, normaler Hotelbetrieb) für valide Vergleiche notwendig.</w:t>
      </w:r>
    </w:p>
    <w:p>
      <w:pPr>
        <w:spacing w:after="80" w:before="300"/>
        <w:jc w:val="left"/>
      </w:pPr>
      <w:r>
        <w:rPr>
          <w:rFonts w:ascii="Georgia" w:cs="Georgia" w:eastAsia="Georgia" w:hAnsi="Georgia"/>
          <w:b/>
          <w:bCs/>
          <w:color w:val="B87333"/>
          <w:sz w:val="22"/>
          <w:szCs w:val="22"/>
        </w:rPr>
        <w:t xml:space="preserve">2. Stichprobendesign für interne Audits</w:t>
      </w:r>
    </w:p>
    <w:p>
      <w:pPr>
        <w:pBdr>
          <w:bottom w:val="single" w:color="CCCCCC" w:sz="4" w:space="1"/>
        </w:pBdr>
        <w:spacing w:after="80" w:before="60"/>
      </w:pPr>
      <w:r>
        <w:t xml:space="preserve"/>
      </w:r>
    </w:p>
    <w:p>
      <w:pPr>
        <w:spacing w:after="60" w:before="160"/>
        <w:jc w:val="left"/>
      </w:pPr>
      <w:r>
        <w:rPr>
          <w:rFonts w:ascii="Georgia" w:cs="Georgia" w:eastAsia="Georgia" w:hAnsi="Georgia"/>
          <w:b/>
          <w:bCs/>
          <w:i/>
          <w:iCs/>
          <w:color w:val="1A1A2E"/>
          <w:sz w:val="20"/>
          <w:szCs w:val="20"/>
        </w:rPr>
        <w:t xml:space="preserve">2.1 Zufällige vs. risikoorientierte Stichprobenauswahl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Einfache Zufallsstichprobe (Simple Random Sampling): Jeder Datenpunkt hat die gleiche Auswahlwahrscheinlichkeit. Einsatz: Verifikation der allgemeinen Datenqualität ohne spezifische Verdachtspunkte. Empfohlenes Verfahren: Zufallszahlengenerator für die Auswahl der zu verifizierenden Zeitstempel.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Risikoorientierte Stichprobe (Risk-Based Sampling): Höhere Stichprobenintensität in Perioden oder Bereichen mit erhöhtem Fehlerrisiko. Anwendung im Hotelsektor: erhöhte Stichprobenintensität für Perioden mit Systemumstellung (Sensorwechsel, Softwareupdate), für Perioden mit hoher Auslastung (MICE-Events), für Bereiche mit bekannten Kalibrierungsproblemen.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Empfehlung für den internen Audit (ISO 14001): Kombination aus 70% Zufallsstichprobe (allgemeine Qualitätsverifikation) und 30% risikoorientierter Stichprobe (fokussierte Verifikation der Hochrisikobereiche).</w:t>
      </w:r>
    </w:p>
    <w:p>
      <w:pPr>
        <w:spacing w:after="60" w:before="160"/>
        <w:jc w:val="left"/>
      </w:pPr>
      <w:r>
        <w:rPr>
          <w:rFonts w:ascii="Georgia" w:cs="Georgia" w:eastAsia="Georgia" w:hAnsi="Georgia"/>
          <w:b/>
          <w:bCs/>
          <w:i/>
          <w:iCs/>
          <w:color w:val="1A1A2E"/>
          <w:sz w:val="20"/>
          <w:szCs w:val="20"/>
        </w:rPr>
        <w:t xml:space="preserve">2.2 Praxisanleitung: Stichprobenziehung in fünf Schritten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Schritt 1 — Population definieren: Festlegung des zu verifizierenden Datensatzes (z.B. alle Stundenwerte des Stromzählers Hauptgebäude für das Quartal Q2 = ca. 2.184 Datenpunkte).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Schritt 2 — Stichprobengröße bestimmen: Für 95%-Konfidenz und ±5%-Fehlermarge: n = 35 bis 50 Datenpunkte. Für ±3%-Fehlermarge (höhere Genauigkeitsanforderung, z.B. für ISO-14064-3-Assurance): n = 96 Datenpunkte.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Schritt 3 — Stichprobe ziehen: Verwendung eines Zufallszahlengenerators (Excel ZUFALLSBEREICH, Python random.sample, oder Online-Tool random.org) zur Auswahl der zu verifizierenden Zeitstempel. Stichprobenauswahl vor der Verifikation dokumentieren.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4.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Schritt 4 — Verifikation durchführen: Für jeden ausgewählten Datenpunkt: Vergleich IoT-Rohdaten vs. aggregierter Datenbankwert vs. Rechnungsdatum (wo möglich). Abweichungen &gt; Fehlermarge dokumentieren.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5.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Schritt 5 — Ergebnis interpretieren: Fehlerrate &lt; 2%: Datenqualität akzeptabel — keine weiteren Maßnahmen. Fehlerrate 2–5%: Erhöhte Überwachungsfrequenz für die betroffene Datenkategorie im nächsten Quartal. Fehlerrate &gt; 5%: Systematischer Fehler wahrscheinlich — vollständige Überprüfung des betroffenen Datensatzes und Ursachenanalyse erforderlich.</w:t>
      </w:r>
    </w:p>
    <w:p>
      <w:pPr>
        <w:spacing w:after="80" w:before="300"/>
        <w:jc w:val="left"/>
      </w:pPr>
      <w:r>
        <w:rPr>
          <w:rFonts w:ascii="Georgia" w:cs="Georgia" w:eastAsia="Georgia" w:hAnsi="Georgia"/>
          <w:b/>
          <w:bCs/>
          <w:color w:val="B87333"/>
          <w:sz w:val="22"/>
          <w:szCs w:val="22"/>
        </w:rPr>
        <w:t xml:space="preserve">3. Stichprobenmethodik für das THG-Emissionsinventar</w:t>
      </w:r>
    </w:p>
    <w:p>
      <w:pPr>
        <w:pBdr>
          <w:bottom w:val="single" w:color="CCCCCC" w:sz="4" w:space="1"/>
        </w:pBdr>
        <w:spacing w:after="80" w:before="60"/>
      </w:pPr>
      <w:r>
        <w:t xml:space="preserve"/>
      </w:r>
    </w:p>
    <w:p>
      <w:pPr>
        <w:spacing w:after="60" w:before="160"/>
        <w:jc w:val="left"/>
      </w:pPr>
      <w:r>
        <w:rPr>
          <w:rFonts w:ascii="Georgia" w:cs="Georgia" w:eastAsia="Georgia" w:hAnsi="Georgia"/>
          <w:b/>
          <w:bCs/>
          <w:i/>
          <w:iCs/>
          <w:color w:val="1A1A2E"/>
          <w:sz w:val="20"/>
          <w:szCs w:val="20"/>
        </w:rPr>
        <w:t xml:space="preserve">3.1 ISO-14064-1-Anforderungen an die Datenstichprobe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ISO 14064-1:2018 Abschnitt 5.4 verlangt, dass die Organisation die Datenvollständigkeit, -konsistenz und -genauigkeit im Emissionsinventar bewertet. Die Stichprobenverifikation der Quelldaten (Energieverbrauch, Emissionsfaktoren) ist die praktische Umsetzung dieser Anforderung.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Für Scope-1-Emissionen (direkte Emissionen aus Heizungsanlagen, Kälteanlagen): Vollständige Verifikation der Brennstoffverbrauchsrechnungen (niedrige Datenmenge — vollständige Prüfung praktikabel). Stichprobenverifikation der F-Gas-Register-Einträge (Befüllungsmengen × GWP-Faktor).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Für Scope-2-Emissionen (Strom, Fernwärme): Verifikation der Jahresrechnungen (Primärquelle) gegen die aggregierten IoT-Daten. Toleranz: ±3% zwischen Rechnungsdaten und IoT-Aggregat. Stichprobenverifikation der verwendeten Emissionsfaktoren (Aktualität: Umweltbundesamt-Strommix-Faktoren aktualisieren jährlich).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4.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Für Scope-3-Kategorie-1 (eingekaufte Waren und Dienstleistungen): Risikoorientierte Stichprobe der kritischen Lieferanten-Primärdaten — Verifikation, ob die vom Lieferanten gelieferten Emissionsdaten intern konsistent und methodologisch belastbar sind.</w:t>
      </w:r>
    </w:p>
    <w:p>
      <w:pPr>
        <w:spacing w:after="60" w:before="160"/>
        <w:jc w:val="left"/>
      </w:pPr>
      <w:r>
        <w:rPr>
          <w:rFonts w:ascii="Georgia" w:cs="Georgia" w:eastAsia="Georgia" w:hAnsi="Georgia"/>
          <w:b/>
          <w:bCs/>
          <w:i/>
          <w:iCs/>
          <w:color w:val="1A1A2E"/>
          <w:sz w:val="20"/>
          <w:szCs w:val="20"/>
        </w:rPr>
        <w:t xml:space="preserve">3.2 Umgang mit Messunsicherheit in der ESG-Disclosure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Jede Messung hat eine inhärente Unsicherheit. Die ISO 14064-1 und der GHG Protocol verlangen die Offenlegung der Datenunsicherheit im Emissionsinventar — insbesondere wenn die Unsicherheit die Entscheidungsrelevanz der Daten beeinflusst.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Unsicherheitsquantifizierung: Für jede Emissionskategorie Angabe der Datenunsicherheit in Prozent. Typische Unsicherheitsbandbreiten im Hotelsektor: Scope-1-Gasverbrauch ±2–3% (Zählergenauigkeit), Scope-2-Strom ±1–2% (Smart-Meter-Klasse B), Scope-3-Kategorie-1-Schätzungen ±30–50% (fehlende Primärdaten).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Konservativitätsprinzip: Bei Datenunsicherheit gilt das Konservativitätsprinzip des GHG Protocol — im Zweifel die höhere (ungünstigere) Emissionsschätzung verwenden, um eine systematische Unterschätzung zu vermeiden. Dieses Prinzip ist für externe Assurance-Prozesse (ISO 14064-3) besonders relevant.</w:t>
      </w:r>
    </w:p>
    <w:p>
      <w:pPr>
        <w:spacing w:after="80" w:before="300"/>
        <w:jc w:val="left"/>
      </w:pPr>
      <w:r>
        <w:rPr>
          <w:rFonts w:ascii="Georgia" w:cs="Georgia" w:eastAsia="Georgia" w:hAnsi="Georgia"/>
          <w:b/>
          <w:bCs/>
          <w:color w:val="B87333"/>
          <w:sz w:val="22"/>
          <w:szCs w:val="22"/>
        </w:rPr>
        <w:t xml:space="preserve">4. Praktische Anleitung: Stichprobenprotokoll für den internen Auditor</w:t>
      </w:r>
    </w:p>
    <w:p>
      <w:pPr>
        <w:pBdr>
          <w:bottom w:val="single" w:color="CCCCCC" w:sz="4" w:space="1"/>
        </w:pBdr>
        <w:spacing w:after="80" w:before="60"/>
      </w:pPr>
      <w:r>
        <w:t xml:space="preserve"/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Vor dem internen Audit — Stichprobenplan erstellen: Für jeden wesentlichen Umweltaspekt (Klausel 6.1.1) einen Stichprobenplan definieren mit: zu verifizierender Datensatz, Stichprobengröße (n), Auswahlmethode (Zufall / risikoorientiert), akzeptable Fehlerrate, verantwortliche Person für die Verifikation.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Während des internen Audits — Stichprobe durchführen: IoT-Rohdaten aus dem Monitoring-System exportieren. Stichprobenauswahl mit dokumentiertem Zufallsverfahren. Verifikation der ausgewählten Datenpunkte gegen Primärquellen (Rechnungen, Kalibrierungszertifikate, Betriebslogs). Fehler und Abweichungen im Auditprotokoll erfassen.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Nach dem internen Audit — Ergebnisse dokumentieren: Stichprobengröße, Auswahlmethode, gefundene Fehlerrate in den Auditbericht aufnehmen. Bei Fehlerrate &gt; 5%: Nichtkonformität nach Klausel 10.2 öffnen mit Root-Cause-Analyse der Systemursache (Kalibrierung, Transmission, manuelle Eingabe). Stichprobenergebnisse im Managementreview-Bericht als Qualitätsindikator des Monitoring-Systems ausweisen.</w:t>
      </w:r>
    </w:p>
    <w:p>
      <w:pPr>
        <w:spacing w:after="0" w:before="200"/>
      </w:pPr>
      <w:r>
        <w:t xml:space="preserve"/>
      </w:r>
    </w:p>
    <w:p>
      <w:pPr>
        <w:pBdr>
          <w:bottom w:val="single" w:color="B87333" w:sz="4" w:space="1"/>
        </w:pBdr>
        <w:spacing w:after="80" w:before="60"/>
      </w:pPr>
      <w:r>
        <w:t xml:space="preserve"/>
      </w:r>
    </w:p>
    <w:p>
      <w:pPr>
        <w:spacing w:after="60" w:before="80"/>
        <w:jc w:val="left"/>
      </w:pPr>
      <w:r>
        <w:rPr>
          <w:rFonts w:ascii="Georgia" w:cs="Georgia" w:eastAsia="Georgia" w:hAnsi="Georgia"/>
          <w:b/>
          <w:bCs/>
          <w:caps/>
          <w:color w:val="B87333"/>
          <w:spacing w:val="60"/>
          <w:sz w:val="17"/>
          <w:szCs w:val="17"/>
        </w:rPr>
        <w:t xml:space="preserve">Dokumentinformationen</w:t>
      </w:r>
    </w:p>
    <w:p>
      <w:pPr>
        <w:spacing w:after="60" w:before="40" w:line="264" w:lineRule="auto"/>
        <w:jc w:val="both"/>
      </w:pPr>
      <w:r>
        <w:rPr>
          <w:rFonts w:ascii="Georgia" w:cs="Georgia" w:eastAsia="Georgia" w:hAnsi="Georgia"/>
          <w:i/>
          <w:iCs/>
          <w:color w:val="555555"/>
          <w:sz w:val="17"/>
          <w:szCs w:val="17"/>
        </w:rPr>
        <w:t xml:space="preserve">Dieses Dokument ist eine methodologische Ergänzung zur Schriftenreihe Das Steuer und die Lupe, Band 1b — Die Lupe des Auditors. Es richtet sich an interne Auditoren, Umweltmanagementbeauftragte und externe Verifikatoren im DACH-Hotelsektor.</w:t>
      </w:r>
    </w:p>
    <w:p>
      <w:pPr>
        <w:spacing w:after="60" w:before="40" w:line="264" w:lineRule="auto"/>
        <w:jc w:val="both"/>
      </w:pPr>
      <w:r>
        <w:rPr>
          <w:rFonts w:ascii="Georgia" w:cs="Georgia" w:eastAsia="Georgia" w:hAnsi="Georgia"/>
          <w:i/>
          <w:iCs/>
          <w:color w:val="555555"/>
          <w:sz w:val="17"/>
          <w:szCs w:val="17"/>
        </w:rPr>
        <w:t xml:space="preserve">Aktualisierungen unter: buecher.effedore.com/iso-14001-2026/ressourcen</w:t>
      </w:r>
    </w:p>
    <w:sectPr>
      <w:headerReference w:type="default" r:id="rId7"/>
      <w:footerReference w:type="default" r:id="rId8"/>
      <w:pgSz w:w="10080" w:h="14400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7333" w:sz="4" w:space="4"/>
      </w:pBdr>
      <w:tabs>
        <w:tab w:val="right" w:pos="7246"/>
      </w:tabs>
      <w:spacing w:after="0" w:before="100"/>
    </w:pPr>
    <w:r>
      <w:rPr>
        <w:rFonts w:ascii="Georgia" w:cs="Georgia" w:eastAsia="Georgia" w:hAnsi="Georgia"/>
        <w:i/>
        <w:iCs/>
        <w:color w:val="555555"/>
        <w:sz w:val="15"/>
        <w:szCs w:val="15"/>
      </w:rPr>
      <w:t xml:space="preserve">buecher.effedore.com</w:t>
    </w:r>
    <w:r>
      <w:rPr>
        <w:rFonts w:ascii="Georgia" w:cs="Georgia" w:eastAsia="Georgia" w:hAnsi="Georgia"/>
        <w:sz w:val="15"/>
        <w:szCs w:val="15"/>
      </w:rPr>
      <w:t xml:space="preserve">	</w:t>
    </w:r>
    <w:r>
      <w:rPr>
        <w:rFonts w:ascii="Georgia" w:cs="Georgia" w:eastAsia="Georgia" w:hAnsi="Georgia"/>
        <w:color w:val="B87333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87333" w:sz="4" w:space="4"/>
      </w:pBdr>
      <w:spacing w:after="100" w:before="0"/>
      <w:jc w:val="right"/>
    </w:pPr>
    <w:r>
      <w:rPr>
        <w:rFonts w:ascii="Georgia" w:cs="Georgia" w:eastAsia="Georgia" w:hAnsi="Georgia"/>
        <w:i/>
        <w:iCs/>
        <w:color w:val="555555"/>
        <w:sz w:val="15"/>
        <w:szCs w:val="15"/>
      </w:rPr>
      <w:t xml:space="preserve">Das Steuer und die Lupe — Band 1b | Stichprobenmethodik kontinuierliche Daten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A2E"/>
        <w:sz w:val="20"/>
        <w:szCs w:val="20"/>
      </w:rPr>
    </w:rPrDefault>
    <w:pPrDefault>
      <w:pPr>
        <w:jc w:val="both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2026-05-25T15:55:40.742Z</dcterms:created>
  <dcterms:modified xsi:type="dcterms:W3CDTF">2026-05-25T15:55:40.742Z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