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  <w:jc w:val="left"/>
      </w:pPr>
      <w:r>
        <w:rPr>
          <w:rFonts w:ascii="Georgia" w:cs="Georgia" w:eastAsia="Georgia" w:hAnsi="Georgia"/>
          <w:b/>
          <w:bCs/>
          <w:color w:val="B87333"/>
          <w:spacing w:val="60"/>
          <w:sz w:val="28"/>
          <w:szCs w:val="28"/>
        </w:rPr>
        <w:t xml:space="preserve">PROTOKOLL ZUR VERIFIKATION DER INTEGRITÄT VON IoT-UMWELTDATEN</w:t>
      </w:r>
    </w:p>
    <w:p>
      <w:pPr>
        <w:spacing w:after="40" w:before="0"/>
        <w:jc w:val="left"/>
      </w:pPr>
      <w:r>
        <w:rPr>
          <w:rFonts w:ascii="Georgia" w:cs="Georgia" w:eastAsia="Georgia" w:hAnsi="Georgia"/>
          <w:i/>
          <w:iCs/>
          <w:color w:val="1A1A2E"/>
          <w:sz w:val="22"/>
          <w:szCs w:val="22"/>
        </w:rPr>
        <w:t xml:space="preserve">Qualitätssicherung für kontinuierliche Umweltüberwachungssysteme im DACH-Hotelbetrieb</w:t>
      </w:r>
    </w:p>
    <w:p>
      <w:pPr>
        <w:shd w:fill="F5ECD7" w:color="auto" w:val="clear"/>
        <w:spacing w:after="200" w:before="0"/>
        <w:ind w:left="160" w:right="160"/>
        <w:jc w:val="left"/>
      </w:pPr>
      <w:r>
        <w:rPr>
          <w:rFonts w:ascii="Georgia" w:cs="Georgia" w:eastAsia="Georgia" w:hAnsi="Georgia"/>
          <w:b/>
          <w:bCs/>
          <w:color w:val="B87333"/>
          <w:sz w:val="17"/>
          <w:szCs w:val="17"/>
        </w:rPr>
        <w:t xml:space="preserve">Referenz: ISO 14001:2026 Klausel 9.1 | ISO 14064-1:2018 Abschnitt 5.4 | GHG Protocol Corporate Standard</w:t>
      </w:r>
    </w:p>
    <w:p>
      <w:pPr>
        <w:pBdr>
          <w:bottom w:val="single" w:color="B87333" w:sz="4" w:space="1"/>
        </w:pBdr>
        <w:spacing w:after="80" w:before="60"/>
      </w:pPr>
      <w:r>
        <w:t xml:space="preserve"/>
      </w:r>
    </w:p>
    <w:p>
      <w:pPr>
        <w:shd w:fill="EBF5FB" w:color="auto" w:val="clear"/>
        <w:spacing w:after="120" w:before="120" w:line="264" w:lineRule="auto"/>
        <w:ind w:left="200" w:right="200"/>
        <w:jc w:val="both"/>
      </w:pPr>
      <w:r>
        <w:rPr>
          <w:rFonts w:ascii="Georgia" w:cs="Georgia" w:eastAsia="Georgia" w:hAnsi="Georgia"/>
          <w:i/>
          <w:iCs/>
          <w:color w:val="1A1A2E"/>
          <w:sz w:val="17"/>
          <w:szCs w:val="17"/>
        </w:rPr>
        <w:t xml:space="preserve">Version 1.0 | Das Steuer und die Lupe — Band 1b | buecher.effedore.com</w:t>
      </w:r>
    </w:p>
    <w:p>
      <w:pPr>
        <w:spacing w:after="0" w:before="80"/>
      </w:pPr>
      <w:r>
        <w:t xml:space="preserve"/>
      </w:r>
    </w:p>
    <w:p>
      <w:pPr>
        <w:spacing w:after="80" w:before="300"/>
        <w:jc w:val="left"/>
      </w:pPr>
      <w:r>
        <w:rPr>
          <w:rFonts w:ascii="Georgia" w:cs="Georgia" w:eastAsia="Georgia" w:hAnsi="Georgia"/>
          <w:b/>
          <w:bCs/>
          <w:color w:val="B87333"/>
          <w:sz w:val="22"/>
          <w:szCs w:val="22"/>
        </w:rPr>
        <w:t xml:space="preserve">Zweck und Anwendungsbereich</w:t>
      </w:r>
    </w:p>
    <w:p>
      <w:pPr>
        <w:pBdr>
          <w:bottom w:val="single" w:color="CCCCCC" w:sz="4" w:space="1"/>
        </w:pBdr>
        <w:spacing w:after="80" w:before="60"/>
      </w:pPr>
      <w:r>
        <w:t xml:space="preserve"/>
      </w:r>
    </w:p>
    <w:p>
      <w:pPr>
        <w:spacing w:after="100" w:before="60" w:line="276" w:lineRule="auto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A2E"/>
          <w:sz w:val="20"/>
          <w:szCs w:val="20"/>
        </w:rPr>
        <w:t xml:space="preserve">Dieses Protokoll definiert die Mindestanforderungen an die Verifikation der Integrität von Umweltdaten, die durch IoT-Sensorsysteme, Smart-Meter und Sub-Metering-Infrastrukturen in Hotelstrukturen des DACH-Raums erfasst werden.</w:t>
      </w:r>
    </w:p>
    <w:p>
      <w:pPr>
        <w:spacing w:after="100" w:before="60" w:line="276" w:lineRule="auto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A2E"/>
          <w:sz w:val="20"/>
          <w:szCs w:val="20"/>
        </w:rPr>
        <w:t xml:space="preserve">Die Integrität der Umweltdaten ist eine normative Anforderung der ISO 14001:2026 Klausel 9.1 (Überwachung, Messung, Analyse und Bewertung) und eine Qualitätsanforderung der ISO 14064-1:2018 für die Erstellung verlässlicher THG-Emissionsinventare. Fehlende, fehlerhafte oder manipulierbare Daten produzieren nicht nur normative Nichtkonformitäten — sie kompromittieren die Glaubwürdigkeit der ESG-Disclosure gegenüber CSRD-pflichtigen Corporate-Kunden.</w:t>
      </w:r>
    </w:p>
    <w:p>
      <w:pPr>
        <w:spacing w:after="100" w:before="60" w:line="276" w:lineRule="auto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A2E"/>
          <w:sz w:val="20"/>
          <w:szCs w:val="20"/>
        </w:rPr>
        <w:t xml:space="preserve">Das Protokoll gilt für folgende Datenkategorien: Energieverbrauchsdaten (Strom, Wärme, Kälte) aus Smart-Metern und Sub-Metering-Systemen; Wasserverbrauchsdaten aus Durchflussmessern; Temperaturdaten aus Klimaanlagen- und Heizungssteuerungen; Abfalldaten aus Wiegesystemen; Emissionsdaten aus direkten Messungen (z.B. Schornstein-Monitoring).</w:t>
      </w:r>
    </w:p>
    <w:p>
      <w:pPr>
        <w:spacing w:after="80" w:before="300"/>
        <w:jc w:val="left"/>
      </w:pPr>
      <w:r>
        <w:rPr>
          <w:rFonts w:ascii="Georgia" w:cs="Georgia" w:eastAsia="Georgia" w:hAnsi="Georgia"/>
          <w:b/>
          <w:bCs/>
          <w:color w:val="B87333"/>
          <w:sz w:val="22"/>
          <w:szCs w:val="22"/>
        </w:rPr>
        <w:t xml:space="preserve">1. Anforderungen an die IoT-Sensorinfrastruktur</w:t>
      </w:r>
    </w:p>
    <w:p>
      <w:pPr>
        <w:pBdr>
          <w:bottom w:val="single" w:color="CCCCCC" w:sz="4" w:space="1"/>
        </w:pBdr>
        <w:spacing w:after="80" w:before="60"/>
      </w:pPr>
      <w:r>
        <w:t xml:space="preserve"/>
      </w:r>
    </w:p>
    <w:p>
      <w:pPr>
        <w:spacing w:after="60" w:before="160"/>
        <w:jc w:val="left"/>
      </w:pPr>
      <w:r>
        <w:rPr>
          <w:rFonts w:ascii="Georgia" w:cs="Georgia" w:eastAsia="Georgia" w:hAnsi="Georgia"/>
          <w:b/>
          <w:bCs/>
          <w:i/>
          <w:iCs/>
          <w:color w:val="1A1A2E"/>
          <w:sz w:val="20"/>
          <w:szCs w:val="20"/>
        </w:rPr>
        <w:t xml:space="preserve">1.1 Mindestanforderungen an Messkonfiguration und Kalibrierung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1.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Alle im System als wesentlich klassifizierten Umweltaspekte (Klausel 6.1.1) müssen mit kalibrierten Messgeräten überwacht werden. Kalibrierung: mindestens jährlich durch einen akkreditierten Messtechniker oder nach Herstellervorgabe — maßgeblich ist der kürzere Intervall.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2.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Kalibrierungszertifikate sind im Umweltmanagementsystem zu archivieren (Klausel 7.5.3) und müssen im internen Audit und im externen Zertifizierungsaudit auf Anfrage verfügbar sein. Empfohlenes Format: digitale Ablage im DMS mit QR-Code am Messgerät für Sofortzugriff.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3.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Messgenauigkeitsklasse Mindestanforderung: Klasse B nach EN 50470-3 für Stromzähler; Klasse 2 nach EN 1434 für Wärmemengenzähler; Klasse C nach ISO 4064 für Wasserzähler.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4.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Sub-Metering-Auflösung: Für Hotelstrukturen mit mehr als 80 Zimmern wird eine Auflösung auf Bereichsebene empfohlen (Housekeeping-Etagen, Küche, Spa, Tagungsbereich, technische Anlagen). Mindestanforderung für die ISO-14064-1-konforme Emissionsberechnung: Gesamtverbrauch auf Gebäudeebene mit täglicher Granularität.</w:t>
      </w:r>
    </w:p>
    <w:p>
      <w:pPr>
        <w:spacing w:after="60" w:before="160"/>
        <w:jc w:val="left"/>
      </w:pPr>
      <w:r>
        <w:rPr>
          <w:rFonts w:ascii="Georgia" w:cs="Georgia" w:eastAsia="Georgia" w:hAnsi="Georgia"/>
          <w:b/>
          <w:bCs/>
          <w:i/>
          <w:iCs/>
          <w:color w:val="1A1A2E"/>
          <w:sz w:val="20"/>
          <w:szCs w:val="20"/>
        </w:rPr>
        <w:t xml:space="preserve">1.2 Datentransmission und Speicherintegrität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1.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IoT-Daten müssen über gesicherte Protokolle übertragen werden (HTTPS/TLS 1.2 minimum; MQTT mit TLS für energiebeschränkte Sensornetzwerke). Unverschlüsselte HTTP-Übertragungen von Umweltmessdaten sind nicht zulässig, da sie die Manipulierbarkeit der Systemdaten kompromittieren.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2.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Zeitstempel: Jeder Datenpunkt muss mit einem verifizierbaren Zeitstempel (UTC oder MEZ/MESZ mit expliziter Zeitzonenangabe) versehen sein. Empfehlung: NTP-Synchronisation aller Sensoren auf einen zentralen Zeitserver.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3.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Datenspeicherung: Rohdaten müssen mindestens fünf Jahre archiviert bleiben — kohärent mit den Aufbewahrungspflichten nach HGB (D), UGB (A) und OR (CH) für buchführungspflichtige Unternehmen. Für GHG-Inventory-Zwecke gilt die ISO-14064-1-Empfehlung von zehn Jahren für Basis- und Inventardaten.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4.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Backup-Protokoll: Tägliches automatisches Backup der IoT-Rohdaten auf einen von der Primärdatenbank getrennten Server. Backup-Integrität monatlich mit Checksummenverifikation prüfen.</w:t>
      </w:r>
    </w:p>
    <w:p>
      <w:pPr>
        <w:spacing w:after="80" w:before="300"/>
        <w:jc w:val="left"/>
      </w:pPr>
      <w:r>
        <w:rPr>
          <w:rFonts w:ascii="Georgia" w:cs="Georgia" w:eastAsia="Georgia" w:hAnsi="Georgia"/>
          <w:b/>
          <w:bCs/>
          <w:color w:val="B87333"/>
          <w:sz w:val="22"/>
          <w:szCs w:val="22"/>
        </w:rPr>
        <w:t xml:space="preserve">2. Datenanomalie-Erkennung und Qualitätssicherung</w:t>
      </w:r>
    </w:p>
    <w:p>
      <w:pPr>
        <w:pBdr>
          <w:bottom w:val="single" w:color="CCCCCC" w:sz="4" w:space="1"/>
        </w:pBdr>
        <w:spacing w:after="80" w:before="60"/>
      </w:pPr>
      <w:r>
        <w:t xml:space="preserve"/>
      </w:r>
    </w:p>
    <w:p>
      <w:pPr>
        <w:spacing w:after="60" w:before="160"/>
        <w:jc w:val="left"/>
      </w:pPr>
      <w:r>
        <w:rPr>
          <w:rFonts w:ascii="Georgia" w:cs="Georgia" w:eastAsia="Georgia" w:hAnsi="Georgia"/>
          <w:b/>
          <w:bCs/>
          <w:i/>
          <w:iCs/>
          <w:color w:val="1A1A2E"/>
          <w:sz w:val="20"/>
          <w:szCs w:val="20"/>
        </w:rPr>
        <w:t xml:space="preserve">2.1 Automatisierte Plausibilitätsprüfungen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1.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Range-Check: Jeder Datenpunkt wird gegen physikalisch und betrieblich plausible Grenzwerte geprüft. Beispiele: Stromverbrauch Hotelzimmer &gt; 15 kWh/Stunde = Alarm; Wasserverbrauch Einzelzähler &gt; 10.000 Liter/Stunde = Alarm; Temperatursensor &lt; -10°C oder &gt; 60°C in Innenräumen = Sensor-Fehler.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2.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Rate-of-Change-Check: Verbrauchsänderungen, die den gleitenden 7-Tage-Durchschnitt um mehr als 200% überschreiten, lösen eine Prüfungsbenachrichtigung aus. Legitime Ursachen (Großveranstaltung, Systemwechsel) sind im Betriebslog zu dokumentieren.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3.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Flat-Line-Erkennung: Konstante Messwerte über mehr als 4 Stunden für kontinuierlich messende Sensoren (Stromzähler, Durchflussmesser) indizieren Sensorfehler oder Datentransmissionsunterbrechung — automatische Benachrichtigung an den Haustechnikleiter.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4.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Cross-Sensor-Validierung: Wo Parallelzähler vorhanden (z.B. Hauptzähler + Sub-Meter), muss die Summe der Sub-Meter-Werte innerhalb von ±3% des Hauptzählerwertes liegen. Abweichungen &gt; 3% auslösen eine Kalibrierungsüberprüfung.</w:t>
      </w:r>
    </w:p>
    <w:p>
      <w:pPr>
        <w:spacing w:after="60" w:before="160"/>
        <w:jc w:val="left"/>
      </w:pPr>
      <w:r>
        <w:rPr>
          <w:rFonts w:ascii="Georgia" w:cs="Georgia" w:eastAsia="Georgia" w:hAnsi="Georgia"/>
          <w:b/>
          <w:bCs/>
          <w:i/>
          <w:iCs/>
          <w:color w:val="1A1A2E"/>
          <w:sz w:val="20"/>
          <w:szCs w:val="20"/>
        </w:rPr>
        <w:t xml:space="preserve">2.2 Manuelle Qualitätsprüfung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1.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Monatliche Plausibilitätsprüfung: Der Umweltmanagementbeauftragte (UMB) verifiziert monatlich die Konsistenz der IoT-Daten mit den Lieferantenrechnungen (Stromanbieter, Wasserversorger, Fernwärmeanbieter). Toleranzgrenze: ±5% zwischen Zählerdaten und Rechnungsdaten — Abweichungen &gt; 5% erfordern eine schriftliche Erklärung im Betriebslog.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2.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Quartalsweise Sensor-Begehung: Der Haustechnikleiter führt quartalsweise eine physische Inspektion aller im System erfassten Messgeräte durch. Protokoll: Sensorstatus (ok / verschmutzt / beschädigt / ersetzt), letztes Kalibrierungsdatum, Sichtprüfung der Verbindungen. Protokoll in der Systemdokumentation ablegen.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3.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Jährliche Kalibrierungsverifikation: Vor dem internen Jahresaudit und vor der externen Überwachung überprüft der UMB, ob alle Messgeräte gültige Kalibrierungszertifikate haben. Geräte ohne gültiges Zertifikat werden vor der Auditdurchführung kalibriert oder gesperrt.</w:t>
      </w:r>
    </w:p>
    <w:p>
      <w:pPr>
        <w:spacing w:after="80" w:before="300"/>
        <w:jc w:val="left"/>
      </w:pPr>
      <w:r>
        <w:rPr>
          <w:rFonts w:ascii="Georgia" w:cs="Georgia" w:eastAsia="Georgia" w:hAnsi="Georgia"/>
          <w:b/>
          <w:bCs/>
          <w:color w:val="B87333"/>
          <w:sz w:val="22"/>
          <w:szCs w:val="22"/>
        </w:rPr>
        <w:t xml:space="preserve">3. Datenlücken-Management (Data Gap Management)</w:t>
      </w:r>
    </w:p>
    <w:p>
      <w:pPr>
        <w:pBdr>
          <w:bottom w:val="single" w:color="CCCCCC" w:sz="4" w:space="1"/>
        </w:pBdr>
        <w:spacing w:after="80" w:before="60"/>
      </w:pPr>
      <w:r>
        <w:t xml:space="preserve"/>
      </w:r>
    </w:p>
    <w:p>
      <w:pPr>
        <w:spacing w:after="60" w:before="160"/>
        <w:jc w:val="left"/>
      </w:pPr>
      <w:r>
        <w:rPr>
          <w:rFonts w:ascii="Georgia" w:cs="Georgia" w:eastAsia="Georgia" w:hAnsi="Georgia"/>
          <w:b/>
          <w:bCs/>
          <w:i/>
          <w:iCs/>
          <w:color w:val="1A1A2E"/>
          <w:sz w:val="20"/>
          <w:szCs w:val="20"/>
        </w:rPr>
        <w:t xml:space="preserve">3.1 Klassifizierung von Datenlücken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1.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Klasse A — Kurzzeitlücken (&lt; 24 Stunden): Akzeptable Schätzung durch lineare Interpolation zwischen dem letzten validen Wert vor und dem ersten validen Wert nach der Lücke. Dokumentation im Betriebslog mit Ursachenangabe (Sensorausfall, Netzwerkunterbrechung, geplante Wartung).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2.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Klasse B — Mittellücken (1–7 Tage): Schätzung auf Basis des Durchschnittswertes der gleichen Periode des Vorjahres, korrigiert mit dem Belegungsratefaktor des Ausfallszeitraums. Formel: Geschätzter Wert = (Vorjahresdurchschnitt Periode × Belegungsrate Ausfallszeitraum) / Belegungsrate Vorjahreszeitraum. Schätzwert in der Datenbank als [E] (Estimated) gekennzeichnet.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3.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Klasse C — Langzeitlücken (&gt; 7 Tage): Erfordern einen konservativen Ansatz für das THG-Emissionsinventar. Schätzung auf Basis der ungünstigsten plausiblen Annahme (Worst-Case innerhalb des physikalisch möglichen Rahmens). Die Methodik und die Schätzgrundlage müssen im Inventarbericht explizit offengelegt werden — Anforderung der ISO 14064-1 Abschnitt 5.4 (Datenvollständigkeit).</w:t>
      </w:r>
    </w:p>
    <w:p>
      <w:pPr>
        <w:spacing w:after="60" w:before="160"/>
        <w:jc w:val="left"/>
      </w:pPr>
      <w:r>
        <w:rPr>
          <w:rFonts w:ascii="Georgia" w:cs="Georgia" w:eastAsia="Georgia" w:hAnsi="Georgia"/>
          <w:b/>
          <w:bCs/>
          <w:i/>
          <w:iCs/>
          <w:color w:val="1A1A2E"/>
          <w:sz w:val="20"/>
          <w:szCs w:val="20"/>
        </w:rPr>
        <w:t xml:space="preserve">3.2 Akzeptanzgrenzen für das THG-Emissionsinventar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1.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GHG-Protocol-Anforderung: Fehlende Messdaten dürfen nicht mehr als 5% des jährlichen Gesamtenergieverbrauchs (kWh) ausmachen, ohne dass eine explizite Schätzmethodologie im Inventarbericht dokumentiert wird.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2.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ISO-14064-1-Anforderung: Datenlücken, die nach dem Klasse-B- oder Klasse-C-Verfahren geschätzt wurden, müssen im Inventarbericht als 'Schätzwerte' ausgewiesen werden, mit Angabe der Schätzmethode, der Unsicherheitsbandbreite und der Ursache der Lücke.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3.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Für externe Assurance-Prozesse (ISO 14064-3): Der Verifikator prüft die Datenvollständigkeit und Lückendokumentation als separaten Verifikationsbereich. Strukturen mit Datenlücken &gt; 10% oder ohne dokumentierte Lückenmethodik erhalten typischerweise eingeschränkte Prüfaussagen (Limited Assurance) statt hinreichender Sicherheit.</w:t>
      </w:r>
    </w:p>
    <w:p>
      <w:pPr>
        <w:spacing w:after="80" w:before="300"/>
        <w:jc w:val="left"/>
      </w:pPr>
      <w:r>
        <w:rPr>
          <w:rFonts w:ascii="Georgia" w:cs="Georgia" w:eastAsia="Georgia" w:hAnsi="Georgia"/>
          <w:b/>
          <w:bCs/>
          <w:color w:val="B87333"/>
          <w:sz w:val="22"/>
          <w:szCs w:val="22"/>
        </w:rPr>
        <w:t xml:space="preserve">4. Audit-Trail und Rückverfolgbarkeit</w:t>
      </w:r>
    </w:p>
    <w:p>
      <w:pPr>
        <w:pBdr>
          <w:bottom w:val="single" w:color="CCCCCC" w:sz="4" w:space="1"/>
        </w:pBdr>
        <w:spacing w:after="80" w:before="60"/>
      </w:pPr>
      <w:r>
        <w:t xml:space="preserve"/>
      </w:r>
    </w:p>
    <w:p>
      <w:pPr>
        <w:spacing w:after="60" w:before="160"/>
        <w:jc w:val="left"/>
      </w:pPr>
      <w:r>
        <w:rPr>
          <w:rFonts w:ascii="Georgia" w:cs="Georgia" w:eastAsia="Georgia" w:hAnsi="Georgia"/>
          <w:b/>
          <w:bCs/>
          <w:i/>
          <w:iCs/>
          <w:color w:val="1A1A2E"/>
          <w:sz w:val="20"/>
          <w:szCs w:val="20"/>
        </w:rPr>
        <w:t xml:space="preserve">4.1 Anforderungen an den Audit-Trail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1.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Jede manuelle Korrektur oder Schätzung eines IoT-Datenwertes muss in einem unveränderlichen Audit-Trail dokumentiert werden: Datum und Uhrzeit der Korrektur, ursprünglicher Wert, korrigierter Wert, Methode der Korrektur, Name der korrigierenden Person, Grund der Korrektur.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2.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Der Audit-Trail ist ein geschütztes Dokument — kein nachträgliches Löschen von Einträgen ist zulässig. Empfohlene Implementierung: append-only Logdatei (keine Schreibrechte außer Append für den UMB) oder Blockchain-basiertes Logging für Strukturen mit hohen ESG-Disclosure-Anforderungen.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3.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Bei externen Audits (ISO 14001-Überwachung, ISO 14064-3-Assurance) muss der vollständige Audit-Trail für den verifizierten Zeitraum auf Anfrage innerhalb von 24 Stunden bereitgestellt werden können.</w:t>
      </w:r>
    </w:p>
    <w:p>
      <w:pPr>
        <w:spacing w:after="60" w:before="160"/>
        <w:jc w:val="left"/>
      </w:pPr>
      <w:r>
        <w:rPr>
          <w:rFonts w:ascii="Georgia" w:cs="Georgia" w:eastAsia="Georgia" w:hAnsi="Georgia"/>
          <w:b/>
          <w:bCs/>
          <w:i/>
          <w:iCs/>
          <w:color w:val="1A1A2E"/>
          <w:sz w:val="20"/>
          <w:szCs w:val="20"/>
        </w:rPr>
        <w:t xml:space="preserve">4.2 Rückverfolgbarkeit der Messwerte bis zur Rechnung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1.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Für die ISO-14064-1-konforme Emissionsberechnung muss jeder im Emissionsinventar verwendete Energieverbrauchswert bis zur Messgerät-Kalibrierungsdokumentation und bis zur Lieferantenrechnung rückverfolgbar sein. Empfohlene Dokumentationsstruktur: IoT-Rohdaten → aggregierte Monatswerte → Rechnungsabgleich → Emissionsfaktor × Verbrauch = CO₂-Äquivalent.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2.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Der Rückverfolgbarkeits-Nachweis ist das wichtigste Qualitätsmerkmal für CSRD-pflichtige Corporate-Kunden: Ein Hotel, das auf Anfrage innerhalb von 48 Stunden die vollständige Datenkette vom Emissionswert bis zum Zählerprotokoll liefern kann, demonstriert eine Systemreife, die formale Zertifizierungen allein nicht kommunizieren können.</w:t>
      </w:r>
    </w:p>
    <w:p>
      <w:pPr>
        <w:spacing w:after="80" w:before="300"/>
        <w:jc w:val="left"/>
      </w:pPr>
      <w:r>
        <w:rPr>
          <w:rFonts w:ascii="Georgia" w:cs="Georgia" w:eastAsia="Georgia" w:hAnsi="Georgia"/>
          <w:b/>
          <w:bCs/>
          <w:color w:val="B87333"/>
          <w:sz w:val="22"/>
          <w:szCs w:val="22"/>
        </w:rPr>
        <w:t xml:space="preserve">5. Systemspezifische DACH-Anforderungen</w:t>
      </w:r>
    </w:p>
    <w:p>
      <w:pPr>
        <w:pBdr>
          <w:bottom w:val="single" w:color="CCCCCC" w:sz="4" w:space="1"/>
        </w:pBdr>
        <w:spacing w:after="80" w:before="60"/>
      </w:pPr>
      <w:r>
        <w:t xml:space="preserve"/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1.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Deutschland — Smart-Meter-Gateway: Seit dem Messstellenbetriebsgesetz (MsbG) sind Smart-Meter-Gateways (SMGW) für Anlagen mit Jahresverbrauch &gt; 6.000 kWh Pflicht. Das SMGW liefert zertifizierte, manipulationssichere Messdaten — für Hotelstrukturen über dieser Schwelle ist der SMGW-Datenstrom die Primärquelle für das Emissionsinventar (BSI TR-03109 konform).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2.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Österreich — Intelligente Messgeräte (iMSys): Nach ElWOG 2010 (Elektrizitätswirtschafts- und -organisationsgesetz) sind intelligente Messgeräte für Verbraucher mit Jahresverbrauch &gt; 2.000 kWh vorgesehen. Die iMSys-Daten der E-Netze Austria sind über das Kundenportal als verifizierte Viertelstundenwerte abrufbar.</w:t>
      </w:r>
    </w:p>
    <w:p>
      <w:pPr>
        <w:spacing w:after="100" w:before="60" w:line="276" w:lineRule="auto"/>
        <w:ind w:left="360" w:hanging="220"/>
        <w:jc w:val="both"/>
      </w:pPr>
      <w:r>
        <w:rPr>
          <w:rFonts w:ascii="Georgia" w:cs="Georgia" w:eastAsia="Georgia" w:hAnsi="Georgia"/>
          <w:b/>
          <w:bCs/>
          <w:color w:val="B87333"/>
          <w:sz w:val="20"/>
          <w:szCs w:val="20"/>
        </w:rPr>
        <w:t xml:space="preserve">3. </w:t>
      </w:r>
      <w:r>
        <w:rPr>
          <w:rFonts w:ascii="Georgia" w:cs="Georgia" w:eastAsia="Georgia" w:hAnsi="Georgia"/>
          <w:color w:val="1A1A2E"/>
          <w:sz w:val="20"/>
          <w:szCs w:val="20"/>
        </w:rPr>
        <w:t xml:space="preserve">Schweiz — Smart Meter nach NIV-14: Die nationale Implementierungsverordnung NIV-14 (Niederspannungs-Installationsverordnung) und die Messwesenvorschriften der Swissgrid definieren die Anforderungen an intelligente Messgeräte. Kantonale Unterschiede in der Rollout-Geschwindigkeit beachten.</w:t>
      </w:r>
    </w:p>
    <w:p>
      <w:pPr>
        <w:spacing w:after="0" w:before="200"/>
      </w:pPr>
      <w:r>
        <w:t xml:space="preserve"/>
      </w:r>
    </w:p>
    <w:p>
      <w:pPr>
        <w:pBdr>
          <w:bottom w:val="single" w:color="B87333" w:sz="4" w:space="1"/>
        </w:pBdr>
        <w:spacing w:after="80" w:before="60"/>
      </w:pPr>
      <w:r>
        <w:t xml:space="preserve"/>
      </w:r>
    </w:p>
    <w:p>
      <w:pPr>
        <w:spacing w:after="60" w:before="80"/>
        <w:jc w:val="left"/>
      </w:pPr>
      <w:r>
        <w:rPr>
          <w:rFonts w:ascii="Georgia" w:cs="Georgia" w:eastAsia="Georgia" w:hAnsi="Georgia"/>
          <w:b/>
          <w:bCs/>
          <w:caps/>
          <w:color w:val="B87333"/>
          <w:spacing w:val="60"/>
          <w:sz w:val="17"/>
          <w:szCs w:val="17"/>
        </w:rPr>
        <w:t xml:space="preserve">Dokumentinformationen</w:t>
      </w:r>
    </w:p>
    <w:p>
      <w:pPr>
        <w:spacing w:after="60" w:before="40" w:line="264" w:lineRule="auto"/>
        <w:jc w:val="both"/>
      </w:pPr>
      <w:r>
        <w:rPr>
          <w:rFonts w:ascii="Georgia" w:cs="Georgia" w:eastAsia="Georgia" w:hAnsi="Georgia"/>
          <w:i/>
          <w:iCs/>
          <w:color w:val="555555"/>
          <w:sz w:val="17"/>
          <w:szCs w:val="17"/>
        </w:rPr>
        <w:t xml:space="preserve">Dieses Protokoll ist ein ergänzendes Online-Dokument zur Schriftenreihe Das Steuer und die Lupe, Band 1b — Die Lupe des Auditors. Es ist kein Bestandteil der ISO-14001:2026-Zertifizierungsanforderungen, sondern eine methodologische Empfehlung für Hotelstrukturen mit IoT-gestützter Umweltüberwachung.</w:t>
      </w:r>
    </w:p>
    <w:p>
      <w:pPr>
        <w:spacing w:after="60" w:before="40" w:line="264" w:lineRule="auto"/>
        <w:jc w:val="both"/>
      </w:pPr>
      <w:r>
        <w:rPr>
          <w:rFonts w:ascii="Georgia" w:cs="Georgia" w:eastAsia="Georgia" w:hAnsi="Georgia"/>
          <w:i/>
          <w:iCs/>
          <w:color w:val="555555"/>
          <w:sz w:val="17"/>
          <w:szCs w:val="17"/>
        </w:rPr>
        <w:t xml:space="preserve">Aktualisierungen unter: buecher.effedore.com/iso-14001-2026/ressourcen</w:t>
      </w:r>
    </w:p>
    <w:sectPr>
      <w:headerReference w:type="default" r:id="rId7"/>
      <w:footerReference w:type="default" r:id="rId8"/>
      <w:pgSz w:w="10080" w:h="14400" w:orient="portrait"/>
      <w:pgMar w:top="1417" w:right="1417" w:bottom="1417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87333" w:sz="4" w:space="4"/>
      </w:pBdr>
      <w:tabs>
        <w:tab w:val="right" w:pos="7246"/>
      </w:tabs>
      <w:spacing w:after="0" w:before="100"/>
    </w:pPr>
    <w:r>
      <w:rPr>
        <w:rFonts w:ascii="Georgia" w:cs="Georgia" w:eastAsia="Georgia" w:hAnsi="Georgia"/>
        <w:i/>
        <w:iCs/>
        <w:color w:val="555555"/>
        <w:sz w:val="15"/>
        <w:szCs w:val="15"/>
      </w:rPr>
      <w:t xml:space="preserve">buecher.effedore.com</w:t>
    </w:r>
    <w:r>
      <w:rPr>
        <w:rFonts w:ascii="Georgia" w:cs="Georgia" w:eastAsia="Georgia" w:hAnsi="Georgia"/>
        <w:sz w:val="15"/>
        <w:szCs w:val="15"/>
      </w:rPr>
      <w:t xml:space="preserve">	</w:t>
    </w:r>
    <w:r>
      <w:rPr>
        <w:rFonts w:ascii="Georgia" w:cs="Georgia" w:eastAsia="Georgia" w:hAnsi="Georgia"/>
        <w:color w:val="B87333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87333" w:sz="4" w:space="4"/>
      </w:pBdr>
      <w:spacing w:after="100" w:before="0"/>
      <w:jc w:val="right"/>
    </w:pPr>
    <w:r>
      <w:rPr>
        <w:rFonts w:ascii="Georgia" w:cs="Georgia" w:eastAsia="Georgia" w:hAnsi="Georgia"/>
        <w:i/>
        <w:iCs/>
        <w:color w:val="555555"/>
        <w:sz w:val="15"/>
        <w:szCs w:val="15"/>
      </w:rPr>
      <w:t xml:space="preserve">Das Steuer und die Lupe — Band 1b | Protokoll IoT-Datenintegrität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1A1A2E"/>
        <w:sz w:val="20"/>
        <w:szCs w:val="20"/>
      </w:rPr>
    </w:rPrDefault>
    <w:pPrDefault>
      <w:pPr>
        <w:jc w:val="both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2026-05-25T15:55:40.679Z</dcterms:created>
  <dcterms:modified xsi:type="dcterms:W3CDTF">2026-05-25T15:55:40.692Z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