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left"/>
      </w:pPr>
      <w:r>
        <w:rPr>
          <w:rFonts w:ascii="Georgia" w:cs="Georgia" w:eastAsia="Georgia" w:hAnsi="Georgia"/>
          <w:b/>
          <w:bCs/>
          <w:color w:val="B87333"/>
          <w:spacing w:val="60"/>
          <w:sz w:val="28"/>
          <w:szCs w:val="28"/>
        </w:rPr>
        <w:t xml:space="preserve">FASSADENSYSTEME IN DER HOTELLERIE — ANONYMISIERTE FALLSTUDIEN</w:t>
      </w:r>
    </w:p>
    <w:p>
      <w:pPr>
        <w:spacing w:after="40" w:before="0"/>
        <w:jc w:val="left"/>
      </w:pPr>
      <w:r>
        <w:rPr>
          <w:rFonts w:ascii="Georgia" w:cs="Georgia" w:eastAsia="Georgia" w:hAnsi="Georgia"/>
          <w:i/>
          <w:iCs/>
          <w:color w:val="1A1A2E"/>
          <w:sz w:val="22"/>
          <w:szCs w:val="22"/>
        </w:rPr>
        <w:t xml:space="preserve">Erkennbare Warnsignale und Muster aus der Auditpraxis im DACH-Raum</w:t>
      </w:r>
    </w:p>
    <w:p>
      <w:pPr>
        <w:shd w:fill="FEF9E7" w:color="auto" w:val="clear"/>
        <w:spacing w:after="80" w:before="80" w:line="264" w:lineRule="auto"/>
        <w:ind w:left="180" w:right="180"/>
        <w:jc w:val="both"/>
      </w:pPr>
      <w:r>
        <w:rPr>
          <w:rFonts w:ascii="Georgia" w:cs="Georgia" w:eastAsia="Georgia" w:hAnsi="Georgia"/>
          <w:i/>
          <w:iCs/>
          <w:color w:val="1A1A2E"/>
          <w:sz w:val="17"/>
          <w:szCs w:val="17"/>
        </w:rPr>
        <w:t xml:space="preserve">Referenz: ISO 14001:2026 Kl. 9.2 (internes Audit) | ISO 19011:2018 Kl. 6.3 | ISO 14001:2026 Kl. 3.10 (Fassadensystem-Konzept)</w:t>
      </w:r>
    </w:p>
    <w:p>
      <w:pPr>
        <w:pBdr>
          <w:bottom w:val="single" w:color="B87333" w:sz="4" w:space="1"/>
        </w:pBdr>
        <w:spacing w:after="80" w:before="60"/>
      </w:pPr>
      <w:r>
        <w:t xml:space="preserve"/>
      </w:r>
    </w:p>
    <w:p>
      <w:pPr>
        <w:shd w:fill="FFF9C4" w:color="auto" w:val="clear"/>
        <w:spacing w:after="80" w:before="80" w:line="264" w:lineRule="auto"/>
        <w:ind w:left="180" w:right="180"/>
        <w:jc w:val="both"/>
      </w:pPr>
      <w:r>
        <w:rPr>
          <w:rFonts w:ascii="Georgia" w:cs="Georgia" w:eastAsia="Georgia" w:hAnsi="Georgia"/>
          <w:i/>
          <w:iCs/>
          <w:color w:val="7D6608"/>
          <w:sz w:val="17"/>
          <w:szCs w:val="17"/>
        </w:rPr>
        <w:t xml:space="preserve">⚠️  Datenschutz-Hinweis: Alle in diesem Dokument beschriebenen Fälle sind anonymisierte und composite Szenarien aus der Auditpraxis. Namen, Standorte und spezifische Details wurden verändert oder kombiniert, um keine reale Struktur identifizierbar zu machen. Ähnlichkeiten mit realen Strukturen sind zufällig.</w:t>
      </w:r>
    </w:p>
    <w:p>
      <w:pPr>
        <w:spacing w:after="0" w:before="80"/>
      </w:pPr>
      <w:r>
        <w:t xml:space="preserve"/>
      </w:r>
    </w:p>
    <w:p>
      <w:pPr>
        <w:spacing w:after="80" w:before="0"/>
        <w:jc w:val="left"/>
      </w:pPr>
      <w:r>
        <w:rPr>
          <w:rFonts w:ascii="Georgia" w:cs="Georgia" w:eastAsia="Georgia" w:hAnsi="Georgia"/>
          <w:b/>
          <w:bCs/>
          <w:color w:val="B87333"/>
          <w:sz w:val="22"/>
          <w:szCs w:val="22"/>
        </w:rPr>
        <w:t xml:space="preserve">Was ist ein Fassadensystem?</w:t>
      </w:r>
    </w:p>
    <w:p>
      <w:pPr>
        <w:pBdr>
          <w:bottom w:val="single" w:color="CCCCCC" w:sz="4" w:space="1"/>
        </w:pBdr>
        <w:spacing w:after="80" w:before="60"/>
      </w:pPr>
      <w:r>
        <w:t xml:space="preserve"/>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Ein Umweltfassadensystem ist ein zertifiziertes Managementsystem, das formale Konformität mit der ISO 14001 demonstriert, ohne die substanzielle operative Wirklichkeit zu verändern, die die Norm verändern soll. Es ist ein System, das für den Auditor aufgebaut wurde — nicht für den Planeten, nicht für die Organisation, nicht für den Markt.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Das Fassadensystem ist schwieriger zu identifizieren als eine gewöhnliche Nichtkonformität. Eine fehlende Dokumentation ist offensichtlich; ein System, das alle Dokumente hat, aber keine operativen Auswirkungen produziert, erfordert eine andere Auditmethodologie — die Fähigkeit, hinter dem Papier die organisatorische Realität zu lesen.</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Dieses Dokument sammelt anonymisierte Muster aus der Auditpraxis. Ihr Zweck ist doppelt: dem internen Auditor zu zeigen, welche Signale auf ein Fassadensystem hinweisen können; und dem Management zu zeigen, wie ein Fassadensystem von außen aussieht — damit es nie in die eigene Struktur einzieht.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Die sechs Diagnosetests des Fassadensystems (aus Unterkapitel 3.10 dieses Bandes) sind das Analyserahmen, der diesen Fallstudien zugrunde liegt. Jeder Fall illustriert, wie ein oder mehrere dieser Tests ein Fassadensystem aufdecken können, das bei einer reinen Dokumentenprüfung unentdeckt geblieben wäre.</w:t>
      </w:r>
    </w:p>
    <w:p>
      <w:pPr>
        <w:spacing w:after="0" w:before="280"/>
      </w:pPr>
      <w:r>
        <w:t xml:space="preserve"/>
      </w:r>
    </w:p>
    <w:p>
      <w:pPr>
        <w:spacing w:after="60" w:before="0"/>
        <w:jc w:val="left"/>
      </w:pPr>
      <w:r>
        <w:rPr>
          <w:rFonts w:ascii="Georgia" w:cs="Georgia" w:eastAsia="Georgia" w:hAnsi="Georgia"/>
          <w:b/>
          <w:bCs/>
          <w:color w:val="6E2F2F"/>
          <w:spacing w:val="60"/>
          <w:sz w:val="28"/>
          <w:szCs w:val="28"/>
        </w:rPr>
        <w:t xml:space="preserve">SYSTEMATIK DER WARNSIGNALE</w:t>
      </w:r>
    </w:p>
    <w:p>
      <w:pPr>
        <w:pBdr>
          <w:bottom w:val="single" w:color="6E2F2F" w:sz="4" w:space="1"/>
        </w:pBdr>
        <w:spacing w:after="80" w:before="60"/>
      </w:pPr>
      <w:r>
        <w:t xml:space="preserve"/>
      </w:r>
    </w:p>
    <w:p>
      <w:pPr>
        <w:spacing w:after="0" w:before="120"/>
      </w:pPr>
      <w:r>
        <w:t xml:space="preserve"/>
      </w:r>
    </w:p>
    <w:p>
      <w:pPr>
        <w:spacing w:after="40" w:before="0"/>
        <w:jc w:val="left"/>
      </w:pPr>
      <w:r>
        <w:rPr>
          <w:rFonts w:ascii="Georgia" w:cs="Georgia" w:eastAsia="Georgia" w:hAnsi="Georgia"/>
          <w:b/>
          <w:bCs/>
          <w:color w:val="FFFFFF"/>
          <w:sz w:val="24"/>
          <w:szCs w:val="24"/>
          <w:highlight w:val="darkRed"/>
          <w:highlightCs w:val="darkRed"/>
        </w:rPr>
        <w:t xml:space="preserve">W1 </w:t>
      </w:r>
      <w:r>
        <w:rPr>
          <w:rFonts w:ascii="Georgia" w:cs="Georgia" w:eastAsia="Georgia" w:hAnsi="Georgia"/>
          <w:b/>
          <w:bCs/>
          <w:color w:val="1F618D"/>
          <w:sz w:val="22"/>
          <w:szCs w:val="22"/>
        </w:rPr>
        <w:t xml:space="preserve"> — Dokumentationsmuster</w:t>
      </w:r>
    </w:p>
    <w:p>
      <w:pPr>
        <w:spacing w:after="80" w:before="60" w:line="276" w:lineRule="auto"/>
        <w:ind/>
        <w:jc w:val="both"/>
      </w:pPr>
      <w:r>
        <w:rPr>
          <w:rFonts w:ascii="Georgia" w:cs="Georgia" w:eastAsia="Georgia" w:hAnsi="Georgia"/>
          <w:b w:val="false"/>
          <w:bCs w:val="false"/>
          <w:i/>
          <w:iCs/>
          <w:color w:val="555555"/>
          <w:sz w:val="20"/>
          <w:szCs w:val="20"/>
        </w:rPr>
        <w:t xml:space="preserve">Warnsignale in der Qualität und dem Charakter der Systemdokumentation</w:t>
      </w:r>
    </w:p>
    <w:p>
      <w:pPr>
        <w:spacing w:after="80" w:before="50" w:line="276" w:lineRule="auto"/>
        <w:ind w:left="340" w:hanging="200"/>
        <w:jc w:val="both"/>
      </w:pPr>
      <w:r>
        <w:rPr>
          <w:rFonts w:ascii="Georgia" w:cs="Georgia" w:eastAsia="Georgia" w:hAnsi="Georgia"/>
          <w:b/>
          <w:bCs/>
          <w:color w:val="1F618D"/>
          <w:sz w:val="20"/>
          <w:szCs w:val="20"/>
        </w:rPr>
        <w:t xml:space="preserve">1.  </w:t>
      </w:r>
      <w:r>
        <w:rPr>
          <w:rFonts w:ascii="Georgia" w:cs="Georgia" w:eastAsia="Georgia" w:hAnsi="Georgia"/>
          <w:color w:val="1A1A2E"/>
          <w:sz w:val="20"/>
          <w:szCs w:val="20"/>
        </w:rPr>
        <w:t xml:space="preserve">Nichtkonformitäten-Register mit ausschließlich leichten NCs, alle fristgerecht geschlossen — ohne jemals eine NC in der RCA-Tiefe, ohne je eine NC, die zu einer Verfahrensrevision geführt hat. Ein System ohne schwierige NCs ist kein reifes System: Es ist eines, das nicht tief genug schaut.</w:t>
      </w:r>
    </w:p>
    <w:p>
      <w:pPr>
        <w:spacing w:after="80" w:before="50" w:line="276" w:lineRule="auto"/>
        <w:ind w:left="340" w:hanging="200"/>
        <w:jc w:val="both"/>
      </w:pPr>
      <w:r>
        <w:rPr>
          <w:rFonts w:ascii="Georgia" w:cs="Georgia" w:eastAsia="Georgia" w:hAnsi="Georgia"/>
          <w:b/>
          <w:bCs/>
          <w:color w:val="1F618D"/>
          <w:sz w:val="20"/>
          <w:szCs w:val="20"/>
        </w:rPr>
        <w:t xml:space="preserve">2.  </w:t>
      </w:r>
      <w:r>
        <w:rPr>
          <w:rFonts w:ascii="Georgia" w:cs="Georgia" w:eastAsia="Georgia" w:hAnsi="Georgia"/>
          <w:color w:val="1A1A2E"/>
          <w:sz w:val="20"/>
          <w:szCs w:val="20"/>
        </w:rPr>
        <w:t xml:space="preserve">Root-Cause-Analysen, die immer auf der Verhaltensebene stoppen ('Mitarbeiter nicht geschult') ohne je zur Verfahrensebene zu gelangen ('Das Verfahren sah diesen Fall nicht vor'). Eine populationsweite RCA-Flachheit ist ein Fassadenindikator.</w:t>
      </w:r>
    </w:p>
    <w:p>
      <w:pPr>
        <w:spacing w:after="80" w:before="50" w:line="276" w:lineRule="auto"/>
        <w:ind w:left="340" w:hanging="200"/>
        <w:jc w:val="both"/>
      </w:pPr>
      <w:r>
        <w:rPr>
          <w:rFonts w:ascii="Georgia" w:cs="Georgia" w:eastAsia="Georgia" w:hAnsi="Georgia"/>
          <w:b/>
          <w:bCs/>
          <w:color w:val="1F618D"/>
          <w:sz w:val="20"/>
          <w:szCs w:val="20"/>
        </w:rPr>
        <w:t xml:space="preserve">3.  </w:t>
      </w:r>
      <w:r>
        <w:rPr>
          <w:rFonts w:ascii="Georgia" w:cs="Georgia" w:eastAsia="Georgia" w:hAnsi="Georgia"/>
          <w:color w:val="1A1A2E"/>
          <w:sz w:val="20"/>
          <w:szCs w:val="20"/>
        </w:rPr>
        <w:t xml:space="preserve">Umweltaspekte-Register mit identischen Signifikanzpunktzahlen für verschiedene Aspekte, die offensichtlich unterschiedliches Gewicht haben müssen. Oder Bewertungsmatrizen, bei denen alle wesentlichen Aspekte exakt auf dem Schwellenwert landen — weder deutlich darüber noch darunter.</w:t>
      </w:r>
    </w:p>
    <w:p>
      <w:pPr>
        <w:spacing w:after="80" w:before="50" w:line="276" w:lineRule="auto"/>
        <w:ind w:left="340" w:hanging="200"/>
        <w:jc w:val="both"/>
      </w:pPr>
      <w:r>
        <w:rPr>
          <w:rFonts w:ascii="Georgia" w:cs="Georgia" w:eastAsia="Georgia" w:hAnsi="Georgia"/>
          <w:b/>
          <w:bCs/>
          <w:color w:val="1F618D"/>
          <w:sz w:val="20"/>
          <w:szCs w:val="20"/>
        </w:rPr>
        <w:t xml:space="preserve">4.  </w:t>
      </w:r>
      <w:r>
        <w:rPr>
          <w:rFonts w:ascii="Georgia" w:cs="Georgia" w:eastAsia="Georgia" w:hAnsi="Georgia"/>
          <w:color w:val="1A1A2E"/>
          <w:sz w:val="20"/>
          <w:szCs w:val="20"/>
        </w:rPr>
        <w:t xml:space="preserve">Managementreview-Protokolle, die identische Formulierungen für drei aufeinanderfolgende Jahre aufweisen. Ein echtes Review reagiert auf die Systemergebnisse des Jahres — seine Sprache und seine Entscheidungen variieren.</w:t>
      </w:r>
    </w:p>
    <w:p>
      <w:pPr>
        <w:spacing w:after="80" w:before="50" w:line="276" w:lineRule="auto"/>
        <w:ind w:left="340" w:hanging="200"/>
        <w:jc w:val="both"/>
      </w:pPr>
      <w:r>
        <w:rPr>
          <w:rFonts w:ascii="Georgia" w:cs="Georgia" w:eastAsia="Georgia" w:hAnsi="Georgia"/>
          <w:b/>
          <w:bCs/>
          <w:color w:val="1F618D"/>
          <w:sz w:val="20"/>
          <w:szCs w:val="20"/>
        </w:rPr>
        <w:t xml:space="preserve">5.  </w:t>
      </w:r>
      <w:r>
        <w:rPr>
          <w:rFonts w:ascii="Georgia" w:cs="Georgia" w:eastAsia="Georgia" w:hAnsi="Georgia"/>
          <w:color w:val="1A1A2E"/>
          <w:sz w:val="20"/>
          <w:szCs w:val="20"/>
        </w:rPr>
        <w:t xml:space="preserve">Verfahrensdokumente mit Versions-Datum, das immer kurz vor dem Auditdatum liegt — nie im laufenden Betriebsjahr ohne Auditbezug.</w:t>
      </w:r>
    </w:p>
    <w:p>
      <w:pPr>
        <w:spacing w:after="0" w:before="120"/>
      </w:pPr>
      <w:r>
        <w:t xml:space="preserve"/>
      </w:r>
    </w:p>
    <w:p>
      <w:pPr>
        <w:spacing w:after="40" w:before="0"/>
        <w:jc w:val="left"/>
      </w:pPr>
      <w:r>
        <w:rPr>
          <w:rFonts w:ascii="Georgia" w:cs="Georgia" w:eastAsia="Georgia" w:hAnsi="Georgia"/>
          <w:b/>
          <w:bCs/>
          <w:color w:val="FFFFFF"/>
          <w:sz w:val="24"/>
          <w:szCs w:val="24"/>
          <w:highlight w:val="darkRed"/>
          <w:highlightCs w:val="darkRed"/>
        </w:rPr>
        <w:t xml:space="preserve">W2 </w:t>
      </w:r>
      <w:r>
        <w:rPr>
          <w:rFonts w:ascii="Georgia" w:cs="Georgia" w:eastAsia="Georgia" w:hAnsi="Georgia"/>
          <w:b/>
          <w:bCs/>
          <w:color w:val="117A65"/>
          <w:sz w:val="22"/>
          <w:szCs w:val="22"/>
        </w:rPr>
        <w:t xml:space="preserve"> — Personalmuster</w:t>
      </w:r>
    </w:p>
    <w:p>
      <w:pPr>
        <w:spacing w:after="80" w:before="60" w:line="276" w:lineRule="auto"/>
        <w:ind/>
        <w:jc w:val="both"/>
      </w:pPr>
      <w:r>
        <w:rPr>
          <w:rFonts w:ascii="Georgia" w:cs="Georgia" w:eastAsia="Georgia" w:hAnsi="Georgia"/>
          <w:b w:val="false"/>
          <w:bCs w:val="false"/>
          <w:i/>
          <w:iCs/>
          <w:color w:val="555555"/>
          <w:sz w:val="20"/>
          <w:szCs w:val="20"/>
        </w:rPr>
        <w:t xml:space="preserve">Warnsignale im Verhalten und Wissensniveau des Personals</w:t>
      </w:r>
    </w:p>
    <w:p>
      <w:pPr>
        <w:spacing w:after="80" w:before="50" w:line="276" w:lineRule="auto"/>
        <w:ind w:left="340" w:hanging="200"/>
        <w:jc w:val="both"/>
      </w:pPr>
      <w:r>
        <w:rPr>
          <w:rFonts w:ascii="Georgia" w:cs="Georgia" w:eastAsia="Georgia" w:hAnsi="Georgia"/>
          <w:b/>
          <w:bCs/>
          <w:color w:val="117A65"/>
          <w:sz w:val="20"/>
          <w:szCs w:val="20"/>
        </w:rPr>
        <w:t xml:space="preserve">1.  </w:t>
      </w:r>
      <w:r>
        <w:rPr>
          <w:rFonts w:ascii="Georgia" w:cs="Georgia" w:eastAsia="Georgia" w:hAnsi="Georgia"/>
          <w:color w:val="1A1A2E"/>
          <w:sz w:val="20"/>
          <w:szCs w:val="20"/>
        </w:rPr>
        <w:t xml:space="preserve">Umweltmanagementbeauftragte, der/die alle Fragen vollständig beantwortet — und jedes Mal bemerkt wird, dass er/sie unmittelbar vor der Antwort kurz inne hält, als würde er/sie ein Dokument mental aufrufen, statt aus operativer Erfahrung zu antworten.</w:t>
      </w:r>
    </w:p>
    <w:p>
      <w:pPr>
        <w:spacing w:after="80" w:before="50" w:line="276" w:lineRule="auto"/>
        <w:ind w:left="340" w:hanging="200"/>
        <w:jc w:val="both"/>
      </w:pPr>
      <w:r>
        <w:rPr>
          <w:rFonts w:ascii="Georgia" w:cs="Georgia" w:eastAsia="Georgia" w:hAnsi="Georgia"/>
          <w:b/>
          <w:bCs/>
          <w:color w:val="117A65"/>
          <w:sz w:val="20"/>
          <w:szCs w:val="20"/>
        </w:rPr>
        <w:t xml:space="preserve">2.  </w:t>
      </w:r>
      <w:r>
        <w:rPr>
          <w:rFonts w:ascii="Georgia" w:cs="Georgia" w:eastAsia="Georgia" w:hAnsi="Georgia"/>
          <w:color w:val="1A1A2E"/>
          <w:sz w:val="20"/>
          <w:szCs w:val="20"/>
        </w:rPr>
        <w:t xml:space="preserve">Linienoperatives Personal (Housekeeping, Küche, Haustechnik), das auf Fragen zu den eigenen Umweltaspekten antwortet: 'Das ist Sache der Nachhaltigkeitsbeauftragten.' In einem echten System antwortet das Zimmermädchen auf die Frage nach der Abfalltrennung aus der eigenen Erfahrung — nicht mit einem Verweis.</w:t>
      </w:r>
    </w:p>
    <w:p>
      <w:pPr>
        <w:spacing w:after="80" w:before="50" w:line="276" w:lineRule="auto"/>
        <w:ind w:left="340" w:hanging="200"/>
        <w:jc w:val="both"/>
      </w:pPr>
      <w:r>
        <w:rPr>
          <w:rFonts w:ascii="Georgia" w:cs="Georgia" w:eastAsia="Georgia" w:hAnsi="Georgia"/>
          <w:b/>
          <w:bCs/>
          <w:color w:val="117A65"/>
          <w:sz w:val="20"/>
          <w:szCs w:val="20"/>
        </w:rPr>
        <w:t xml:space="preserve">3.  </w:t>
      </w:r>
      <w:r>
        <w:rPr>
          <w:rFonts w:ascii="Georgia" w:cs="Georgia" w:eastAsia="Georgia" w:hAnsi="Georgia"/>
          <w:color w:val="1A1A2E"/>
          <w:sz w:val="20"/>
          <w:szCs w:val="20"/>
        </w:rPr>
        <w:t xml:space="preserve">Übereinstimmend falsche Antworten des Personals, die identisch klingen — als wären sie für das Interview einstudiert worden. Authentische Systemkenntnis produziert individuelle Formulierungen.</w:t>
      </w:r>
    </w:p>
    <w:p>
      <w:pPr>
        <w:spacing w:after="80" w:before="50" w:line="276" w:lineRule="auto"/>
        <w:ind w:left="340" w:hanging="200"/>
        <w:jc w:val="both"/>
      </w:pPr>
      <w:r>
        <w:rPr>
          <w:rFonts w:ascii="Georgia" w:cs="Georgia" w:eastAsia="Georgia" w:hAnsi="Georgia"/>
          <w:b/>
          <w:bCs/>
          <w:color w:val="117A65"/>
          <w:sz w:val="20"/>
          <w:szCs w:val="20"/>
        </w:rPr>
        <w:t xml:space="preserve">4.  </w:t>
      </w:r>
      <w:r>
        <w:rPr>
          <w:rFonts w:ascii="Georgia" w:cs="Georgia" w:eastAsia="Georgia" w:hAnsi="Georgia"/>
          <w:color w:val="1A1A2E"/>
          <w:sz w:val="20"/>
          <w:szCs w:val="20"/>
        </w:rPr>
        <w:t xml:space="preserve">Haustechnikleiter, der die wesentlichen Energieverbrauchswerte (kWh/Monat) nicht annäherungsweise aus dem Gedächtnis nennen kann, obwohl er täglich mit dem System interagieren sollte.</w:t>
      </w:r>
    </w:p>
    <w:p>
      <w:pPr>
        <w:spacing w:after="80" w:before="50" w:line="276" w:lineRule="auto"/>
        <w:ind w:left="340" w:hanging="200"/>
        <w:jc w:val="both"/>
      </w:pPr>
      <w:r>
        <w:rPr>
          <w:rFonts w:ascii="Georgia" w:cs="Georgia" w:eastAsia="Georgia" w:hAnsi="Georgia"/>
          <w:b/>
          <w:bCs/>
          <w:color w:val="117A65"/>
          <w:sz w:val="20"/>
          <w:szCs w:val="20"/>
        </w:rPr>
        <w:t xml:space="preserve">5.  </w:t>
      </w:r>
      <w:r>
        <w:rPr>
          <w:rFonts w:ascii="Georgia" w:cs="Georgia" w:eastAsia="Georgia" w:hAnsi="Georgia"/>
          <w:color w:val="1A1A2E"/>
          <w:sz w:val="20"/>
          <w:szCs w:val="20"/>
        </w:rPr>
        <w:t xml:space="preserve">Personalmitglieder, die beschreiben, was sie 'normalerweise' tun würden, nicht was sie tatsächlich tun. Der Modus 'normalerweise' ist der Modus des dokumentierten Verfahrens, nicht des gelebten Alltags.</w:t>
      </w:r>
    </w:p>
    <w:p>
      <w:pPr>
        <w:spacing w:after="0" w:before="120"/>
      </w:pPr>
      <w:r>
        <w:t xml:space="preserve"/>
      </w:r>
    </w:p>
    <w:p>
      <w:pPr>
        <w:spacing w:after="40" w:before="0"/>
        <w:jc w:val="left"/>
      </w:pPr>
      <w:r>
        <w:rPr>
          <w:rFonts w:ascii="Georgia" w:cs="Georgia" w:eastAsia="Georgia" w:hAnsi="Georgia"/>
          <w:b/>
          <w:bCs/>
          <w:color w:val="FFFFFF"/>
          <w:sz w:val="24"/>
          <w:szCs w:val="24"/>
          <w:highlight w:val="darkRed"/>
          <w:highlightCs w:val="darkRed"/>
        </w:rPr>
        <w:t xml:space="preserve">W3 </w:t>
      </w:r>
      <w:r>
        <w:rPr>
          <w:rFonts w:ascii="Georgia" w:cs="Georgia" w:eastAsia="Georgia" w:hAnsi="Georgia"/>
          <w:b/>
          <w:bCs/>
          <w:color w:val="784212"/>
          <w:sz w:val="22"/>
          <w:szCs w:val="22"/>
        </w:rPr>
        <w:t xml:space="preserve"> — Kennzahlenmuster</w:t>
      </w:r>
    </w:p>
    <w:p>
      <w:pPr>
        <w:spacing w:after="80" w:before="60" w:line="276" w:lineRule="auto"/>
        <w:ind/>
        <w:jc w:val="both"/>
      </w:pPr>
      <w:r>
        <w:rPr>
          <w:rFonts w:ascii="Georgia" w:cs="Georgia" w:eastAsia="Georgia" w:hAnsi="Georgia"/>
          <w:b w:val="false"/>
          <w:bCs w:val="false"/>
          <w:i/>
          <w:iCs/>
          <w:color w:val="555555"/>
          <w:sz w:val="20"/>
          <w:szCs w:val="20"/>
        </w:rPr>
        <w:t xml:space="preserve">Warnsignale in der Qualität und dem Verlauf der Umweltkennzahlen</w:t>
      </w:r>
    </w:p>
    <w:p>
      <w:pPr>
        <w:spacing w:after="80" w:before="50" w:line="276" w:lineRule="auto"/>
        <w:ind w:left="340" w:hanging="20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Energieverbrauchskennzahlen, die über drei Jahre hinweg exakt dieselbe Intensität zeigen (kWh/Übernachtung), unabhängig von Belegungsrate, Witterung, Systemveränderungen. Jede reale Struktur zeigt Variabilität — gleichförmige Kennzahlen sind häufig Schätzungen, nicht Messungen.</w:t>
      </w:r>
    </w:p>
    <w:p>
      <w:pPr>
        <w:spacing w:after="80" w:before="50" w:line="276" w:lineRule="auto"/>
        <w:ind w:left="340" w:hanging="20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Wasserverbrauchsdaten, die runde Zahlen zeigen (z.B. 250 Liter/Übernachtung für drei Jahre in Folge). Echte Messdaten sind selten rund.</w:t>
      </w:r>
    </w:p>
    <w:p>
      <w:pPr>
        <w:spacing w:after="80" w:before="50" w:line="276" w:lineRule="auto"/>
        <w:ind w:left="340" w:hanging="20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Lebensmittelabfall-Kennzahlen, die konstant unter dem Benchmark liegen, aber kein dokumentiertes Wiegeprogramm vorhanden ist. Optimale Kennzahlen ohne Mess-Infrastruktur sind Schätzungen, die Wunschzustände abbilden.</w:t>
      </w:r>
    </w:p>
    <w:p>
      <w:pPr>
        <w:spacing w:after="80" w:before="50" w:line="276" w:lineRule="auto"/>
        <w:ind w:left="340" w:hanging="200"/>
        <w:jc w:val="both"/>
      </w:pPr>
      <w:r>
        <w:rPr>
          <w:rFonts w:ascii="Georgia" w:cs="Georgia" w:eastAsia="Georgia" w:hAnsi="Georgia"/>
          <w:b/>
          <w:bCs/>
          <w:color w:val="784212"/>
          <w:sz w:val="20"/>
          <w:szCs w:val="20"/>
        </w:rPr>
        <w:t xml:space="preserve">4.  </w:t>
      </w:r>
      <w:r>
        <w:rPr>
          <w:rFonts w:ascii="Georgia" w:cs="Georgia" w:eastAsia="Georgia" w:hAnsi="Georgia"/>
          <w:color w:val="1A1A2E"/>
          <w:sz w:val="20"/>
          <w:szCs w:val="20"/>
        </w:rPr>
        <w:t xml:space="preserve">Emissionsinventare ohne explizite Emissionsfaktorenquellen oder mit undatierten Emissionsfaktoren. Ein nicht datierbarer Emissionsfaktor ist nicht reproduzierbar — und produziert Inventare, die nicht zwischen echten Emissionsänderungen und methodologischen Änderungen unterscheiden.</w:t>
      </w:r>
    </w:p>
    <w:p>
      <w:pPr>
        <w:spacing w:after="80" w:before="50" w:line="276" w:lineRule="auto"/>
        <w:ind w:left="340" w:hanging="200"/>
        <w:jc w:val="both"/>
      </w:pPr>
      <w:r>
        <w:rPr>
          <w:rFonts w:ascii="Georgia" w:cs="Georgia" w:eastAsia="Georgia" w:hAnsi="Georgia"/>
          <w:b/>
          <w:bCs/>
          <w:color w:val="784212"/>
          <w:sz w:val="20"/>
          <w:szCs w:val="20"/>
        </w:rPr>
        <w:t xml:space="preserve">5.  </w:t>
      </w:r>
      <w:r>
        <w:rPr>
          <w:rFonts w:ascii="Georgia" w:cs="Georgia" w:eastAsia="Georgia" w:hAnsi="Georgia"/>
          <w:color w:val="1A1A2E"/>
          <w:sz w:val="20"/>
          <w:szCs w:val="20"/>
        </w:rPr>
        <w:t xml:space="preserve">Scope-3-Schätzungen, die von Jahr zu Jahr identisch sind, unabhängig von Änderungen im Einkaufsvolumen oder der Lieferantenstruktur.</w:t>
      </w:r>
    </w:p>
    <w:p>
      <w:pPr>
        <w:spacing w:after="0" w:before="120"/>
      </w:pPr>
      <w:r>
        <w:t xml:space="preserve"/>
      </w:r>
    </w:p>
    <w:p>
      <w:pPr>
        <w:spacing w:after="40" w:before="0"/>
        <w:jc w:val="left"/>
      </w:pPr>
      <w:r>
        <w:rPr>
          <w:rFonts w:ascii="Georgia" w:cs="Georgia" w:eastAsia="Georgia" w:hAnsi="Georgia"/>
          <w:b/>
          <w:bCs/>
          <w:color w:val="FFFFFF"/>
          <w:sz w:val="24"/>
          <w:szCs w:val="24"/>
          <w:highlight w:val="darkRed"/>
          <w:highlightCs w:val="darkRed"/>
        </w:rPr>
        <w:t xml:space="preserve">W4 </w:t>
      </w:r>
      <w:r>
        <w:rPr>
          <w:rFonts w:ascii="Georgia" w:cs="Georgia" w:eastAsia="Georgia" w:hAnsi="Georgia"/>
          <w:b/>
          <w:bCs/>
          <w:color w:val="6E2F2F"/>
          <w:sz w:val="22"/>
          <w:szCs w:val="22"/>
        </w:rPr>
        <w:t xml:space="preserve"> — Reaktionsmuster</w:t>
      </w:r>
    </w:p>
    <w:p>
      <w:pPr>
        <w:spacing w:after="80" w:before="60" w:line="276" w:lineRule="auto"/>
        <w:ind/>
        <w:jc w:val="both"/>
      </w:pPr>
      <w:r>
        <w:rPr>
          <w:rFonts w:ascii="Georgia" w:cs="Georgia" w:eastAsia="Georgia" w:hAnsi="Georgia"/>
          <w:b w:val="false"/>
          <w:bCs w:val="false"/>
          <w:i/>
          <w:iCs/>
          <w:color w:val="555555"/>
          <w:sz w:val="20"/>
          <w:szCs w:val="20"/>
        </w:rPr>
        <w:t xml:space="preserve">Warnsignale in der Art, wie die Organisation auf Auditfragen reagiert</w:t>
      </w:r>
    </w:p>
    <w:p>
      <w:pPr>
        <w:spacing w:after="80" w:before="50" w:line="276" w:lineRule="auto"/>
        <w:ind w:left="340" w:hanging="200"/>
        <w:jc w:val="both"/>
      </w:pPr>
      <w:r>
        <w:rPr>
          <w:rFonts w:ascii="Georgia" w:cs="Georgia" w:eastAsia="Georgia" w:hAnsi="Georgia"/>
          <w:b/>
          <w:bCs/>
          <w:color w:val="6E2F2F"/>
          <w:sz w:val="20"/>
          <w:szCs w:val="20"/>
        </w:rPr>
        <w:t xml:space="preserve">1.  </w:t>
      </w:r>
      <w:r>
        <w:rPr>
          <w:rFonts w:ascii="Georgia" w:cs="Georgia" w:eastAsia="Georgia" w:hAnsi="Georgia"/>
          <w:color w:val="1A1A2E"/>
          <w:sz w:val="20"/>
          <w:szCs w:val="20"/>
        </w:rPr>
        <w:t xml:space="preserve">Sofortige, fast reflexartige Antwort auf komplexe Fragen — ohne die Sekunde der Überlegung, die eine genuine Antwort aus operativer Erfahrung erfordert. Das Muster des einstudierten Interviews.</w:t>
      </w:r>
    </w:p>
    <w:p>
      <w:pPr>
        <w:spacing w:after="80" w:before="50" w:line="276" w:lineRule="auto"/>
        <w:ind w:left="340" w:hanging="200"/>
        <w:jc w:val="both"/>
      </w:pPr>
      <w:r>
        <w:rPr>
          <w:rFonts w:ascii="Georgia" w:cs="Georgia" w:eastAsia="Georgia" w:hAnsi="Georgia"/>
          <w:b/>
          <w:bCs/>
          <w:color w:val="6E2F2F"/>
          <w:sz w:val="20"/>
          <w:szCs w:val="20"/>
        </w:rPr>
        <w:t xml:space="preserve">2.  </w:t>
      </w:r>
      <w:r>
        <w:rPr>
          <w:rFonts w:ascii="Georgia" w:cs="Georgia" w:eastAsia="Georgia" w:hAnsi="Georgia"/>
          <w:color w:val="1A1A2E"/>
          <w:sz w:val="20"/>
          <w:szCs w:val="20"/>
        </w:rPr>
        <w:t xml:space="preserve">Ausweichen auf Dokumente bei Fragen nach konkreten Erlebnissen: 'Das steht in unserem Verfahren Nummer...' anstelle einer Beschreibung, was tatsächlich passiert ist.</w:t>
      </w:r>
    </w:p>
    <w:p>
      <w:pPr>
        <w:spacing w:after="80" w:before="50" w:line="276" w:lineRule="auto"/>
        <w:ind w:left="340" w:hanging="200"/>
        <w:jc w:val="both"/>
      </w:pPr>
      <w:r>
        <w:rPr>
          <w:rFonts w:ascii="Georgia" w:cs="Georgia" w:eastAsia="Georgia" w:hAnsi="Georgia"/>
          <w:b/>
          <w:bCs/>
          <w:color w:val="6E2F2F"/>
          <w:sz w:val="20"/>
          <w:szCs w:val="20"/>
        </w:rPr>
        <w:t xml:space="preserve">3.  </w:t>
      </w:r>
      <w:r>
        <w:rPr>
          <w:rFonts w:ascii="Georgia" w:cs="Georgia" w:eastAsia="Georgia" w:hAnsi="Georgia"/>
          <w:color w:val="1A1A2E"/>
          <w:sz w:val="20"/>
          <w:szCs w:val="20"/>
        </w:rPr>
        <w:t xml:space="preserve">Überraschungslose Reaktion auf unerwartete Auditor-Szenarien: 'Was würden Sie tun, wenn heute eine F-Gas-Leckage aufträte?' — und die Antwort ist perfekt strukturiert. Übermäßige Perfektion in der Reaktion auf hypothetische Fragen ist verdächtig.</w:t>
      </w:r>
    </w:p>
    <w:p>
      <w:pPr>
        <w:spacing w:after="80" w:before="50" w:line="276" w:lineRule="auto"/>
        <w:ind w:left="340" w:hanging="200"/>
        <w:jc w:val="both"/>
      </w:pPr>
      <w:r>
        <w:rPr>
          <w:rFonts w:ascii="Georgia" w:cs="Georgia" w:eastAsia="Georgia" w:hAnsi="Georgia"/>
          <w:b/>
          <w:bCs/>
          <w:color w:val="6E2F2F"/>
          <w:sz w:val="20"/>
          <w:szCs w:val="20"/>
        </w:rPr>
        <w:t xml:space="preserve">4.  </w:t>
      </w:r>
      <w:r>
        <w:rPr>
          <w:rFonts w:ascii="Georgia" w:cs="Georgia" w:eastAsia="Georgia" w:hAnsi="Georgia"/>
          <w:color w:val="1A1A2E"/>
          <w:sz w:val="20"/>
          <w:szCs w:val="20"/>
        </w:rPr>
        <w:t xml:space="preserve">Defensivität bei Fragen zu vergangenen Nichtkonformitäten: 'Wir hatten keine ernsthaften Probleme.' In einem echten System sind vergangene NCs Lernmomente, über die das Management stolz berichtet.</w:t>
      </w:r>
    </w:p>
    <w:p>
      <w:pPr>
        <w:spacing w:after="80" w:before="50" w:line="276" w:lineRule="auto"/>
        <w:ind w:left="340" w:hanging="200"/>
        <w:jc w:val="both"/>
      </w:pPr>
      <w:r>
        <w:rPr>
          <w:rFonts w:ascii="Georgia" w:cs="Georgia" w:eastAsia="Georgia" w:hAnsi="Georgia"/>
          <w:b/>
          <w:bCs/>
          <w:color w:val="6E2F2F"/>
          <w:sz w:val="20"/>
          <w:szCs w:val="20"/>
        </w:rPr>
        <w:t xml:space="preserve">5.  </w:t>
      </w:r>
      <w:r>
        <w:rPr>
          <w:rFonts w:ascii="Georgia" w:cs="Georgia" w:eastAsia="Georgia" w:hAnsi="Georgia"/>
          <w:color w:val="1A1A2E"/>
          <w:sz w:val="20"/>
          <w:szCs w:val="20"/>
        </w:rPr>
        <w:t xml:space="preserve">Schneller Verweis des Auditors an den UMB bei jedem Thema — auch bei Themen, die eindeutig in den Zuständigkeitsbereich des Befragten fallen.</w:t>
      </w:r>
    </w:p>
    <w:p>
      <w:pPr>
        <w:spacing w:after="0" w:before="120"/>
      </w:pPr>
      <w:r>
        <w:t xml:space="preserve"/>
      </w:r>
    </w:p>
    <w:p>
      <w:pPr>
        <w:spacing w:after="40" w:before="0"/>
        <w:jc w:val="left"/>
      </w:pPr>
      <w:r>
        <w:rPr>
          <w:rFonts w:ascii="Georgia" w:cs="Georgia" w:eastAsia="Georgia" w:hAnsi="Georgia"/>
          <w:b/>
          <w:bCs/>
          <w:color w:val="FFFFFF"/>
          <w:sz w:val="24"/>
          <w:szCs w:val="24"/>
          <w:highlight w:val="darkRed"/>
          <w:highlightCs w:val="darkRed"/>
        </w:rPr>
        <w:t xml:space="preserve">W5 </w:t>
      </w:r>
      <w:r>
        <w:rPr>
          <w:rFonts w:ascii="Georgia" w:cs="Georgia" w:eastAsia="Georgia" w:hAnsi="Georgia"/>
          <w:b/>
          <w:bCs/>
          <w:color w:val="4A235A"/>
          <w:sz w:val="22"/>
          <w:szCs w:val="22"/>
        </w:rPr>
        <w:t xml:space="preserve"> — Systemkohärenzmuster</w:t>
      </w:r>
    </w:p>
    <w:p>
      <w:pPr>
        <w:spacing w:after="80" w:before="60" w:line="276" w:lineRule="auto"/>
        <w:ind/>
        <w:jc w:val="both"/>
      </w:pPr>
      <w:r>
        <w:rPr>
          <w:rFonts w:ascii="Georgia" w:cs="Georgia" w:eastAsia="Georgia" w:hAnsi="Georgia"/>
          <w:b w:val="false"/>
          <w:bCs w:val="false"/>
          <w:i/>
          <w:iCs/>
          <w:color w:val="555555"/>
          <w:sz w:val="20"/>
          <w:szCs w:val="20"/>
        </w:rPr>
        <w:t xml:space="preserve">Warnsignale in der Kohärenz zwischen Dokumenten und operativer Realität</w:t>
      </w:r>
    </w:p>
    <w:p>
      <w:pPr>
        <w:spacing w:after="80" w:before="50" w:line="276" w:lineRule="auto"/>
        <w:ind w:left="340" w:hanging="200"/>
        <w:jc w:val="both"/>
      </w:pPr>
      <w:r>
        <w:rPr>
          <w:rFonts w:ascii="Georgia" w:cs="Georgia" w:eastAsia="Georgia" w:hAnsi="Georgia"/>
          <w:b/>
          <w:bCs/>
          <w:color w:val="4A235A"/>
          <w:sz w:val="20"/>
          <w:szCs w:val="20"/>
        </w:rPr>
        <w:t xml:space="preserve">1.  </w:t>
      </w:r>
      <w:r>
        <w:rPr>
          <w:rFonts w:ascii="Georgia" w:cs="Georgia" w:eastAsia="Georgia" w:hAnsi="Georgia"/>
          <w:color w:val="1A1A2E"/>
          <w:sz w:val="20"/>
          <w:szCs w:val="20"/>
        </w:rPr>
        <w:t xml:space="preserve">Verfahren beschreiben Aktivitäten, für die keine Infrastruktur vorhanden ist: 'Abfalltrennung nach 5 Fraktionen' steht im Verfahren, aber bei der Begehung sind nur 2 Behälter im Housekeeping-Bereich.</w:t>
      </w:r>
    </w:p>
    <w:p>
      <w:pPr>
        <w:spacing w:after="80" w:before="50" w:line="276" w:lineRule="auto"/>
        <w:ind w:left="340" w:hanging="200"/>
        <w:jc w:val="both"/>
      </w:pPr>
      <w:r>
        <w:rPr>
          <w:rFonts w:ascii="Georgia" w:cs="Georgia" w:eastAsia="Georgia" w:hAnsi="Georgia"/>
          <w:b/>
          <w:bCs/>
          <w:color w:val="4A235A"/>
          <w:sz w:val="20"/>
          <w:szCs w:val="20"/>
        </w:rPr>
        <w:t xml:space="preserve">2.  </w:t>
      </w:r>
      <w:r>
        <w:rPr>
          <w:rFonts w:ascii="Georgia" w:cs="Georgia" w:eastAsia="Georgia" w:hAnsi="Georgia"/>
          <w:color w:val="1A1A2E"/>
          <w:sz w:val="20"/>
          <w:szCs w:val="20"/>
        </w:rPr>
        <w:t xml:space="preserve">Schulungsregister zeigt vollständige Teilnahme des gesamten Personals — aber die Schulungsdauer (z.B. 15 Minuten für eine 4-seitige Schulungsunterlage) ist physisch nicht ausreichend für die beschriebenen Inhalte.</w:t>
      </w:r>
    </w:p>
    <w:p>
      <w:pPr>
        <w:spacing w:after="80" w:before="50" w:line="276" w:lineRule="auto"/>
        <w:ind w:left="340" w:hanging="200"/>
        <w:jc w:val="both"/>
      </w:pPr>
      <w:r>
        <w:rPr>
          <w:rFonts w:ascii="Georgia" w:cs="Georgia" w:eastAsia="Georgia" w:hAnsi="Georgia"/>
          <w:b/>
          <w:bCs/>
          <w:color w:val="4A235A"/>
          <w:sz w:val="20"/>
          <w:szCs w:val="20"/>
        </w:rPr>
        <w:t xml:space="preserve">3.  </w:t>
      </w:r>
      <w:r>
        <w:rPr>
          <w:rFonts w:ascii="Georgia" w:cs="Georgia" w:eastAsia="Georgia" w:hAnsi="Georgia"/>
          <w:color w:val="1A1A2E"/>
          <w:sz w:val="20"/>
          <w:szCs w:val="20"/>
        </w:rPr>
        <w:t xml:space="preserve">Notfallpläne, die in der Schublade liegen, ohne Datum der letzten Übung, ohne Unterschriften, ohne Spuren operativer Nutzung. Verfahren, die genutzt werden, sehen benutzt aus.</w:t>
      </w:r>
    </w:p>
    <w:p>
      <w:pPr>
        <w:spacing w:after="80" w:before="50" w:line="276" w:lineRule="auto"/>
        <w:ind w:left="340" w:hanging="200"/>
        <w:jc w:val="both"/>
      </w:pPr>
      <w:r>
        <w:rPr>
          <w:rFonts w:ascii="Georgia" w:cs="Georgia" w:eastAsia="Georgia" w:hAnsi="Georgia"/>
          <w:b/>
          <w:bCs/>
          <w:color w:val="4A235A"/>
          <w:sz w:val="20"/>
          <w:szCs w:val="20"/>
        </w:rPr>
        <w:t xml:space="preserve">4.  </w:t>
      </w:r>
      <w:r>
        <w:rPr>
          <w:rFonts w:ascii="Georgia" w:cs="Georgia" w:eastAsia="Georgia" w:hAnsi="Georgia"/>
          <w:color w:val="1A1A2E"/>
          <w:sz w:val="20"/>
          <w:szCs w:val="20"/>
        </w:rPr>
        <w:t xml:space="preserve">Energiemonitoring-System im IT-Bereich verfügbar, aber die Werte weichen signifikant von den Rechnungsdaten ab, ohne dass eine Erklärung existiert. Datenlücken, die niemand bemerkt hat, zeigen, dass das System nicht wirklich gelesen wird.</w:t>
      </w:r>
    </w:p>
    <w:p>
      <w:pPr>
        <w:spacing w:after="80" w:before="50" w:line="276" w:lineRule="auto"/>
        <w:ind w:left="340" w:hanging="200"/>
        <w:jc w:val="both"/>
      </w:pPr>
      <w:r>
        <w:rPr>
          <w:rFonts w:ascii="Georgia" w:cs="Georgia" w:eastAsia="Georgia" w:hAnsi="Georgia"/>
          <w:b/>
          <w:bCs/>
          <w:color w:val="4A235A"/>
          <w:sz w:val="20"/>
          <w:szCs w:val="20"/>
        </w:rPr>
        <w:t xml:space="preserve">5.  </w:t>
      </w:r>
      <w:r>
        <w:rPr>
          <w:rFonts w:ascii="Georgia" w:cs="Georgia" w:eastAsia="Georgia" w:hAnsi="Georgia"/>
          <w:color w:val="1A1A2E"/>
          <w:sz w:val="20"/>
          <w:szCs w:val="20"/>
        </w:rPr>
        <w:t xml:space="preserve">Interne Auditberichte, die keine einzige Beobachtung enthalten. Kein interner Auditor, der mit ehrlichen Augen schaut, findet in einem operativen Hotelbetrieb null Beobachtungen.</w:t>
      </w:r>
    </w:p>
    <w:p>
      <w:pPr>
        <w:spacing w:after="0" w:before="320"/>
      </w:pPr>
      <w:r>
        <w:t xml:space="preserve"/>
      </w:r>
    </w:p>
    <w:p>
      <w:pPr>
        <w:spacing w:after="60" w:before="0"/>
        <w:jc w:val="left"/>
      </w:pPr>
      <w:r>
        <w:rPr>
          <w:rFonts w:ascii="Georgia" w:cs="Georgia" w:eastAsia="Georgia" w:hAnsi="Georgia"/>
          <w:b/>
          <w:bCs/>
          <w:color w:val="784212"/>
          <w:spacing w:val="60"/>
          <w:sz w:val="28"/>
          <w:szCs w:val="28"/>
        </w:rPr>
        <w:t xml:space="preserve">ANONYMISIERTE FALLSTUDIEN</w:t>
      </w:r>
    </w:p>
    <w:p>
      <w:pPr>
        <w:pBdr>
          <w:bottom w:val="single" w:color="784212" w:sz="4" w:space="1"/>
        </w:pBdr>
        <w:spacing w:after="80" w:before="60"/>
      </w:pPr>
      <w:r>
        <w:t xml:space="preserve"/>
      </w:r>
    </w:p>
    <w:p>
      <w:pPr>
        <w:spacing w:after="0" w:before="300"/>
      </w:pPr>
      <w:r>
        <w:t xml:space="preserve"/>
      </w:r>
    </w:p>
    <w:p>
      <w:pPr>
        <w:shd w:fill="FEF9E7" w:color="auto" w:val="clear"/>
        <w:spacing w:after="40" w:before="0"/>
        <w:ind w:left="120"/>
        <w:jc w:val="left"/>
      </w:pPr>
      <w:r>
        <w:rPr>
          <w:rFonts w:ascii="Georgia" w:cs="Georgia" w:eastAsia="Georgia" w:hAnsi="Georgia"/>
          <w:b/>
          <w:bCs/>
          <w:color w:val="784212"/>
          <w:sz w:val="24"/>
          <w:szCs w:val="24"/>
        </w:rPr>
        <w:t xml:space="preserve">Fall F1 — </w:t>
      </w:r>
      <w:r>
        <w:rPr>
          <w:rFonts w:ascii="Georgia" w:cs="Georgia" w:eastAsia="Georgia" w:hAnsi="Georgia"/>
          <w:b/>
          <w:bCs/>
          <w:color w:val="1A1A2E"/>
          <w:sz w:val="22"/>
          <w:szCs w:val="22"/>
        </w:rPr>
        <w:t xml:space="preserve">Das System, das sich selbst nicht kannte</w:t>
      </w:r>
    </w:p>
    <w:p>
      <w:pPr>
        <w:shd w:fill="FEF9E7" w:color="auto" w:val="clear"/>
        <w:spacing w:after="40" w:before="0"/>
        <w:ind w:left="120"/>
        <w:jc w:val="left"/>
      </w:pPr>
      <w:r>
        <w:rPr>
          <w:rFonts w:ascii="Georgia" w:cs="Georgia" w:eastAsia="Georgia" w:hAnsi="Georgia"/>
          <w:sz w:val="17"/>
          <w:szCs w:val="17"/>
        </w:rPr>
        <w:t xml:space="preserve">🏨 </w:t>
      </w:r>
      <w:r>
        <w:rPr>
          <w:rFonts w:ascii="Georgia" w:cs="Georgia" w:eastAsia="Georgia" w:hAnsi="Georgia"/>
          <w:i/>
          <w:iCs/>
          <w:color w:val="555555"/>
          <w:sz w:val="17"/>
          <w:szCs w:val="17"/>
        </w:rPr>
        <w:t xml:space="preserve">Vier-Sterne-Stadthotel | 120 Zimmer | Rhein-Neckar-Region | 8 Jahre zertifiziert</w:t>
      </w:r>
      <w:r>
        <w:rPr>
          <w:rFonts w:ascii="Georgia" w:cs="Georgia" w:eastAsia="Georgia" w:hAnsi="Georgia"/>
          <w:color w:val="555555"/>
          <w:sz w:val="17"/>
          <w:szCs w:val="17"/>
        </w:rPr>
        <w:t xml:space="preserve">   •   Primärdiagnose: </w:t>
      </w:r>
      <w:r>
        <w:rPr>
          <w:rFonts w:ascii="Georgia" w:cs="Georgia" w:eastAsia="Georgia" w:hAnsi="Georgia"/>
          <w:b/>
          <w:bCs/>
          <w:color w:val="784212"/>
          <w:sz w:val="17"/>
          <w:szCs w:val="17"/>
        </w:rPr>
        <w:t xml:space="preserve">Personalmuster + Systemkohärenz</w:t>
      </w:r>
    </w:p>
    <w:p>
      <w:pPr>
        <w:spacing w:after="0" w:before="60"/>
      </w:pPr>
      <w:r>
        <w:t xml:space="preserve"/>
      </w:r>
    </w:p>
    <w:p>
      <w:pPr>
        <w:spacing w:after="60" w:before="0"/>
        <w:jc w:val="left"/>
      </w:pPr>
      <w:r>
        <w:rPr>
          <w:rFonts w:ascii="Georgia" w:cs="Georgia" w:eastAsia="Georgia" w:hAnsi="Georgia"/>
          <w:b/>
          <w:bCs/>
          <w:i/>
          <w:iCs/>
          <w:color w:val="1A1A2E"/>
          <w:sz w:val="20"/>
          <w:szCs w:val="20"/>
        </w:rPr>
        <w:t xml:space="preserve">Kontext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Das Hotel war seit acht Jahren ISO-14001-zertifiziert. Die Dokumentation war vollständig, gepflegt und aktuell. Der UMB kannte das System in jedem Detail. Die Überwachungen verliefen seit Jahren ohne nennenswerte Nichtkonformitäten.</w:t>
      </w:r>
    </w:p>
    <w:p>
      <w:pPr>
        <w:spacing w:after="60" w:before="120"/>
        <w:jc w:val="left"/>
      </w:pPr>
      <w:r>
        <w:rPr>
          <w:rFonts w:ascii="Georgia" w:cs="Georgia" w:eastAsia="Georgia" w:hAnsi="Georgia"/>
          <w:b/>
          <w:bCs/>
          <w:i/>
          <w:iCs/>
          <w:color w:val="784212"/>
          <w:sz w:val="20"/>
          <w:szCs w:val="20"/>
        </w:rPr>
        <w:t xml:space="preserve">Auditentdeckung — was der Auditor fand</w:t>
      </w:r>
    </w:p>
    <w:p>
      <w:pPr>
        <w:spacing w:after="80" w:before="50" w:line="276" w:lineRule="auto"/>
        <w:ind w:left="340" w:hanging="20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Beim internen Audit-Gespräch mit dem Haustechnikleiter fragte der Auditor: 'Können Sie mir zeigen, wo der Hauptabsperrschieber für das Warmwassersystem im Keller ist?' Der Haustechnikleiter zögerte. Dann: 'Das müsste ich nachsehen.'</w:t>
      </w:r>
    </w:p>
    <w:p>
      <w:pPr>
        <w:spacing w:after="80" w:before="50" w:line="276" w:lineRule="auto"/>
        <w:ind w:left="340" w:hanging="20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Ein Haustechnikleiter, der täglich mit dem Warmwassersystem interagiert, weiß, wo der Hauptabsperrschieber ist. Das ist keine Frage des Umweltmanagementsystems — es ist eine Frage der operativen Kompetenz, ohne die die im Notfallplan beschriebenen Maßnahmen nicht durchführbar sind.</w:t>
      </w:r>
    </w:p>
    <w:p>
      <w:pPr>
        <w:spacing w:after="80" w:before="50" w:line="276" w:lineRule="auto"/>
        <w:ind w:left="340" w:hanging="20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Beim Rundgang zeigte sich: Der Technikraum war ordentlich, mit beschrifteten Anlagen und ausgehängten Verfahren. Aber die Beschriftungen waren neu — kein Abrieb, keine Gebrauchsspuren. Die Schlüsselbretter hatten noch Originalverpackungs-Kunststoff an den Haken.</w:t>
      </w:r>
    </w:p>
    <w:p>
      <w:pPr>
        <w:spacing w:after="80" w:before="50" w:line="276" w:lineRule="auto"/>
        <w:ind w:left="340" w:hanging="200"/>
        <w:jc w:val="both"/>
      </w:pPr>
      <w:r>
        <w:rPr>
          <w:rFonts w:ascii="Georgia" w:cs="Georgia" w:eastAsia="Georgia" w:hAnsi="Georgia"/>
          <w:b/>
          <w:bCs/>
          <w:color w:val="784212"/>
          <w:sz w:val="20"/>
          <w:szCs w:val="20"/>
        </w:rPr>
        <w:t xml:space="preserve">4.  </w:t>
      </w:r>
      <w:r>
        <w:rPr>
          <w:rFonts w:ascii="Georgia" w:cs="Georgia" w:eastAsia="Georgia" w:hAnsi="Georgia"/>
          <w:color w:val="1A1A2E"/>
          <w:sz w:val="20"/>
          <w:szCs w:val="20"/>
        </w:rPr>
        <w:t xml:space="preserve">Die Begehung des Abfallraums zeigte: korrekte Beschriftung der Fraktionen, korrekte Behälterfarben — aber alle Behälter waren exakt gleich voll (zu einem Drittel). Eine realistische Befüllung im Hotelbetrieb produziert ungleichmäßige Füllstände.</w:t>
      </w:r>
    </w:p>
    <w:p>
      <w:pPr>
        <w:spacing w:after="80" w:before="50" w:line="276" w:lineRule="auto"/>
        <w:ind w:left="340" w:hanging="200"/>
        <w:jc w:val="both"/>
      </w:pPr>
      <w:r>
        <w:rPr>
          <w:rFonts w:ascii="Georgia" w:cs="Georgia" w:eastAsia="Georgia" w:hAnsi="Georgia"/>
          <w:b/>
          <w:bCs/>
          <w:color w:val="784212"/>
          <w:sz w:val="20"/>
          <w:szCs w:val="20"/>
        </w:rPr>
        <w:t xml:space="preserve">5.  </w:t>
      </w:r>
      <w:r>
        <w:rPr>
          <w:rFonts w:ascii="Georgia" w:cs="Georgia" w:eastAsia="Georgia" w:hAnsi="Georgia"/>
          <w:color w:val="1A1A2E"/>
          <w:sz w:val="20"/>
          <w:szCs w:val="20"/>
        </w:rPr>
        <w:t xml:space="preserve">Der Auditor fragte den Nachtportier beiläufig nach der Abfalltrennung. Antwort: 'In der Nacht läuft alles in denselben Container — tagsüber macht das jemand anders.'</w:t>
      </w:r>
    </w:p>
    <w:p>
      <w:pPr>
        <w:spacing w:after="0" w:before="60"/>
      </w:pPr>
      <w:r>
        <w:t xml:space="preserve"/>
      </w:r>
    </w:p>
    <w:p>
      <w:pPr>
        <w:shd w:fill="FFF9C4" w:color="auto" w:val="clear"/>
        <w:spacing w:after="80" w:before="80" w:line="264" w:lineRule="auto"/>
        <w:ind w:left="180" w:right="180"/>
        <w:jc w:val="both"/>
      </w:pPr>
      <w:r>
        <w:rPr>
          <w:rFonts w:ascii="Georgia" w:cs="Georgia" w:eastAsia="Georgia" w:hAnsi="Georgia"/>
          <w:i/>
          <w:iCs/>
          <w:color w:val="7D6608"/>
          <w:sz w:val="17"/>
          <w:szCs w:val="17"/>
        </w:rPr>
        <w:t xml:space="preserve">🔍 Befund: Das System war für die Überwachungen aufgebaut worden, nicht für den Betrieb. Die Beschriftungen, die Behälter, die Verfahrensaushänge wurden kurz vor jedem Auditdatum aktiviert. Der Betriebsalltag kannte das System nicht.</w:t>
      </w:r>
    </w:p>
    <w:p>
      <w:pPr>
        <w:shd w:fill="FDECEA" w:color="auto" w:val="clear"/>
        <w:spacing w:after="80" w:before="80" w:line="264" w:lineRule="auto"/>
        <w:ind w:left="180" w:right="180"/>
        <w:jc w:val="both"/>
      </w:pPr>
      <w:r>
        <w:rPr>
          <w:rFonts w:ascii="Georgia" w:cs="Georgia" w:eastAsia="Georgia" w:hAnsi="Georgia"/>
          <w:i/>
          <w:iCs/>
          <w:color w:val="6E2F2F"/>
          <w:sz w:val="17"/>
          <w:szCs w:val="17"/>
        </w:rPr>
        <w:t xml:space="preserve">🔗 Ursache: Der UMB war als Einzelperson alleiniger Systemträger. Die Linienorganisation hatte das System nie internalisiert — weil sie nie gefragt worden war, es zu internalisieren. Die jährlichen Schulungen waren Pflichtveranstaltungen, keine Lernerlebnisse.</w:t>
      </w:r>
    </w:p>
    <w:p>
      <w:pPr>
        <w:shd w:fill="EAFAF1" w:color="auto" w:val="clear"/>
        <w:spacing w:after="80" w:before="80" w:line="264" w:lineRule="auto"/>
        <w:ind w:left="180" w:right="180"/>
        <w:jc w:val="both"/>
      </w:pPr>
      <w:r>
        <w:rPr>
          <w:rFonts w:ascii="Georgia" w:cs="Georgia" w:eastAsia="Georgia" w:hAnsi="Georgia"/>
          <w:i/>
          <w:iCs/>
          <w:color w:val="1E8449"/>
          <w:sz w:val="17"/>
          <w:szCs w:val="17"/>
        </w:rPr>
        <w:t xml:space="preserve">✅ Reales System: Ein reales System dieser Größe würde zeigen: Haustechnikleiter mit spontaner Systemkenntnis der kritischen Anlagen; Nachtpersonal, das dieselben Verfahren kennt wie Tagespersonal; Abfallbehälter mit authentischen Füllständen; Verfahrensaushänge mit Gebrauchsspuren.</w:t>
      </w:r>
    </w:p>
    <w:p>
      <w:pPr>
        <w:spacing w:after="40" w:before="80"/>
        <w:jc w:val="left"/>
      </w:pPr>
      <w:r>
        <w:rPr>
          <w:rFonts w:ascii="Georgia" w:cs="Georgia" w:eastAsia="Georgia" w:hAnsi="Georgia"/>
          <w:i/>
          <w:iCs/>
          <w:color w:val="555555"/>
          <w:sz w:val="17"/>
          <w:szCs w:val="17"/>
        </w:rPr>
        <w:t xml:space="preserve">Aktive Warnsignale in diesem Fall:</w:t>
      </w:r>
    </w:p>
    <w:p>
      <w:pPr>
        <w:spacing w:after="80" w:before="0"/>
      </w:pPr>
      <w:r>
        <w:rPr>
          <w:rFonts w:ascii="Georgia" w:cs="Georgia" w:eastAsia="Georgia" w:hAnsi="Georgia"/>
          <w:b/>
          <w:bCs/>
          <w:color w:val="117A65"/>
          <w:sz w:val="17"/>
          <w:szCs w:val="17"/>
        </w:rPr>
        <w:t xml:space="preserve">W2 — Nur der UMB kennt das System   </w:t>
      </w:r>
      <w:r>
        <w:rPr>
          <w:rFonts w:ascii="Georgia" w:cs="Georgia" w:eastAsia="Georgia" w:hAnsi="Georgia"/>
          <w:b/>
          <w:bCs/>
          <w:color w:val="4A235A"/>
          <w:sz w:val="17"/>
          <w:szCs w:val="17"/>
        </w:rPr>
        <w:t xml:space="preserve">W5 — Infrastruktur ohne Gebrauchsspuren   </w:t>
      </w:r>
    </w:p>
    <w:p>
      <w:pPr>
        <w:spacing w:after="0" w:before="300"/>
      </w:pPr>
      <w:r>
        <w:t xml:space="preserve"/>
      </w:r>
    </w:p>
    <w:p>
      <w:pPr>
        <w:shd w:fill="FEF9E7" w:color="auto" w:val="clear"/>
        <w:spacing w:after="40" w:before="0"/>
        <w:ind w:left="120"/>
        <w:jc w:val="left"/>
      </w:pPr>
      <w:r>
        <w:rPr>
          <w:rFonts w:ascii="Georgia" w:cs="Georgia" w:eastAsia="Georgia" w:hAnsi="Georgia"/>
          <w:b/>
          <w:bCs/>
          <w:color w:val="784212"/>
          <w:sz w:val="24"/>
          <w:szCs w:val="24"/>
        </w:rPr>
        <w:t xml:space="preserve">Fall F2 — </w:t>
      </w:r>
      <w:r>
        <w:rPr>
          <w:rFonts w:ascii="Georgia" w:cs="Georgia" w:eastAsia="Georgia" w:hAnsi="Georgia"/>
          <w:b/>
          <w:bCs/>
          <w:color w:val="1A1A2E"/>
          <w:sz w:val="22"/>
          <w:szCs w:val="22"/>
        </w:rPr>
        <w:t xml:space="preserve">Die runden Zahlen</w:t>
      </w:r>
    </w:p>
    <w:p>
      <w:pPr>
        <w:shd w:fill="FEF9E7" w:color="auto" w:val="clear"/>
        <w:spacing w:after="40" w:before="0"/>
        <w:ind w:left="120"/>
        <w:jc w:val="left"/>
      </w:pPr>
      <w:r>
        <w:rPr>
          <w:rFonts w:ascii="Georgia" w:cs="Georgia" w:eastAsia="Georgia" w:hAnsi="Georgia"/>
          <w:sz w:val="17"/>
          <w:szCs w:val="17"/>
        </w:rPr>
        <w:t xml:space="preserve">🏨 </w:t>
      </w:r>
      <w:r>
        <w:rPr>
          <w:rFonts w:ascii="Georgia" w:cs="Georgia" w:eastAsia="Georgia" w:hAnsi="Georgia"/>
          <w:i/>
          <w:iCs/>
          <w:color w:val="555555"/>
          <w:sz w:val="17"/>
          <w:szCs w:val="17"/>
        </w:rPr>
        <w:t xml:space="preserve">Drei-Sterne-Ferienhotel | 85 Zimmer | Tiroler Bergregion | 3 Jahre zertifiziert</w:t>
      </w:r>
      <w:r>
        <w:rPr>
          <w:rFonts w:ascii="Georgia" w:cs="Georgia" w:eastAsia="Georgia" w:hAnsi="Georgia"/>
          <w:color w:val="555555"/>
          <w:sz w:val="17"/>
          <w:szCs w:val="17"/>
        </w:rPr>
        <w:t xml:space="preserve">   •   Primärdiagnose: </w:t>
      </w:r>
      <w:r>
        <w:rPr>
          <w:rFonts w:ascii="Georgia" w:cs="Georgia" w:eastAsia="Georgia" w:hAnsi="Georgia"/>
          <w:b/>
          <w:bCs/>
          <w:color w:val="784212"/>
          <w:sz w:val="17"/>
          <w:szCs w:val="17"/>
        </w:rPr>
        <w:t xml:space="preserve">Kennzahlenmuster</w:t>
      </w:r>
    </w:p>
    <w:p>
      <w:pPr>
        <w:spacing w:after="0" w:before="60"/>
      </w:pPr>
      <w:r>
        <w:t xml:space="preserve"/>
      </w:r>
    </w:p>
    <w:p>
      <w:pPr>
        <w:spacing w:after="60" w:before="0"/>
        <w:jc w:val="left"/>
      </w:pPr>
      <w:r>
        <w:rPr>
          <w:rFonts w:ascii="Georgia" w:cs="Georgia" w:eastAsia="Georgia" w:hAnsi="Georgia"/>
          <w:b/>
          <w:bCs/>
          <w:i/>
          <w:iCs/>
          <w:color w:val="1A1A2E"/>
          <w:sz w:val="20"/>
          <w:szCs w:val="20"/>
        </w:rPr>
        <w:t xml:space="preserve">Kontext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Das Hotel hatte bei der Erstzertifizierung einen vollständigen Umweltbericht vorgelegt. Die Kennzahlen zeigten eine beeindruckende Verbesserungstrajektorie: -15% Energieverbrauch, -12% Wasserverbrauch im dritten Jahr.</w:t>
      </w:r>
    </w:p>
    <w:p>
      <w:pPr>
        <w:spacing w:after="60" w:before="120"/>
        <w:jc w:val="left"/>
      </w:pPr>
      <w:r>
        <w:rPr>
          <w:rFonts w:ascii="Georgia" w:cs="Georgia" w:eastAsia="Georgia" w:hAnsi="Georgia"/>
          <w:b/>
          <w:bCs/>
          <w:i/>
          <w:iCs/>
          <w:color w:val="784212"/>
          <w:sz w:val="20"/>
          <w:szCs w:val="20"/>
        </w:rPr>
        <w:t xml:space="preserve">Auditentdeckung — was der Auditor fand</w:t>
      </w:r>
    </w:p>
    <w:p>
      <w:pPr>
        <w:spacing w:after="80" w:before="50" w:line="276" w:lineRule="auto"/>
        <w:ind w:left="340" w:hanging="20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Der Auditor bat um die Rohverbrauchsdaten der letzten drei Jahre — nicht die Intensitätskennzahlen, sondern die absoluten Zählerwerte. Der UMB holte eine Excel-Datei.</w:t>
      </w:r>
    </w:p>
    <w:p>
      <w:pPr>
        <w:spacing w:after="80" w:before="50" w:line="276" w:lineRule="auto"/>
        <w:ind w:left="340" w:hanging="20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Energieverbrauch Jahr 1: 487.500 kWh. Jahr 2: 465.000 kWh. Jahr 3: 414.750 kWh. Der Auditor erkannte sofort: Alle Zahlen sind glatt durch 750 teilbar. Gemessene Zählerwerte sind selten durch 750 teilbar.</w:t>
      </w:r>
    </w:p>
    <w:p>
      <w:pPr>
        <w:spacing w:after="80" w:before="50" w:line="276" w:lineRule="auto"/>
        <w:ind w:left="340" w:hanging="20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Der Auditor fragte, ob er die Originalrechnungen der Energieversorger sehen könnte. Lange Pause. 'Die hat die Buchhaltung. Die kann ich nicht sofort herbringen.'</w:t>
      </w:r>
    </w:p>
    <w:p>
      <w:pPr>
        <w:spacing w:after="80" w:before="50" w:line="276" w:lineRule="auto"/>
        <w:ind w:left="340" w:hanging="200"/>
        <w:jc w:val="both"/>
      </w:pPr>
      <w:r>
        <w:rPr>
          <w:rFonts w:ascii="Georgia" w:cs="Georgia" w:eastAsia="Georgia" w:hAnsi="Georgia"/>
          <w:b/>
          <w:bCs/>
          <w:color w:val="784212"/>
          <w:sz w:val="20"/>
          <w:szCs w:val="20"/>
        </w:rPr>
        <w:t xml:space="preserve">4.  </w:t>
      </w:r>
      <w:r>
        <w:rPr>
          <w:rFonts w:ascii="Georgia" w:cs="Georgia" w:eastAsia="Georgia" w:hAnsi="Georgia"/>
          <w:color w:val="1A1A2E"/>
          <w:sz w:val="20"/>
          <w:szCs w:val="20"/>
        </w:rPr>
        <w:t xml:space="preserve">Für Wasserverbrauch: Jahr 1: 3.200 m³, Jahr 2: 2.950 m³, Jahr 3: 2.800 m³. Präzise Messung von Zählern — typischerweise 4-5 Stellen, keine runden Werte.</w:t>
      </w:r>
    </w:p>
    <w:p>
      <w:pPr>
        <w:spacing w:after="80" w:before="50" w:line="276" w:lineRule="auto"/>
        <w:ind w:left="340" w:hanging="200"/>
        <w:jc w:val="both"/>
      </w:pPr>
      <w:r>
        <w:rPr>
          <w:rFonts w:ascii="Georgia" w:cs="Georgia" w:eastAsia="Georgia" w:hAnsi="Georgia"/>
          <w:b/>
          <w:bCs/>
          <w:color w:val="784212"/>
          <w:sz w:val="20"/>
          <w:szCs w:val="20"/>
        </w:rPr>
        <w:t xml:space="preserve">5.  </w:t>
      </w:r>
      <w:r>
        <w:rPr>
          <w:rFonts w:ascii="Georgia" w:cs="Georgia" w:eastAsia="Georgia" w:hAnsi="Georgia"/>
          <w:color w:val="1A1A2E"/>
          <w:sz w:val="20"/>
          <w:szCs w:val="20"/>
        </w:rPr>
        <w:t xml:space="preserve">Die Belegungsrate-Angaben für die drei Jahre: 72%, 74%, 76%. Die Hotelbranche kennt keine linearen Belegungssteigerungen von exakt 2 Prozentpunkten pro Jahr.</w:t>
      </w:r>
    </w:p>
    <w:p>
      <w:pPr>
        <w:spacing w:after="0" w:before="60"/>
      </w:pPr>
      <w:r>
        <w:t xml:space="preserve"/>
      </w:r>
    </w:p>
    <w:p>
      <w:pPr>
        <w:shd w:fill="FFF9C4" w:color="auto" w:val="clear"/>
        <w:spacing w:after="80" w:before="80" w:line="264" w:lineRule="auto"/>
        <w:ind w:left="180" w:right="180"/>
        <w:jc w:val="both"/>
      </w:pPr>
      <w:r>
        <w:rPr>
          <w:rFonts w:ascii="Georgia" w:cs="Georgia" w:eastAsia="Georgia" w:hAnsi="Georgia"/>
          <w:i/>
          <w:iCs/>
          <w:color w:val="7D6608"/>
          <w:sz w:val="17"/>
          <w:szCs w:val="17"/>
        </w:rPr>
        <w:t xml:space="preserve">🔍 Befund: Die Kennzahlen waren rückwärts berechnet worden: Der UMB hatte das gewünschte Ergebnis definiert und dann die Rohdaten konstruiert, die dieses Ergebnis produzieren. Ein klassisches Reverse-Engineering der Systemkennzahlen.</w:t>
      </w:r>
    </w:p>
    <w:p>
      <w:pPr>
        <w:shd w:fill="FDECEA" w:color="auto" w:val="clear"/>
        <w:spacing w:after="80" w:before="80" w:line="264" w:lineRule="auto"/>
        <w:ind w:left="180" w:right="180"/>
        <w:jc w:val="both"/>
      </w:pPr>
      <w:r>
        <w:rPr>
          <w:rFonts w:ascii="Georgia" w:cs="Georgia" w:eastAsia="Georgia" w:hAnsi="Georgia"/>
          <w:i/>
          <w:iCs/>
          <w:color w:val="6E2F2F"/>
          <w:sz w:val="17"/>
          <w:szCs w:val="17"/>
        </w:rPr>
        <w:t xml:space="preserve">🔗 Ursache: Das Hotel hatte keine Sub-Metering-Infrastruktur. Der Energieverbrauch war nie gemessen, sondern immer geschätzt worden. Die Schätzungen waren über die Jahre 'verbessert' worden, ohne dass reale Maßnahmen hinter der Verbesserung standen.</w:t>
      </w:r>
    </w:p>
    <w:p>
      <w:pPr>
        <w:shd w:fill="EAFAF1" w:color="auto" w:val="clear"/>
        <w:spacing w:after="80" w:before="80" w:line="264" w:lineRule="auto"/>
        <w:ind w:left="180" w:right="180"/>
        <w:jc w:val="both"/>
      </w:pPr>
      <w:r>
        <w:rPr>
          <w:rFonts w:ascii="Georgia" w:cs="Georgia" w:eastAsia="Georgia" w:hAnsi="Georgia"/>
          <w:i/>
          <w:iCs/>
          <w:color w:val="1E8449"/>
          <w:sz w:val="17"/>
          <w:szCs w:val="17"/>
        </w:rPr>
        <w:t xml:space="preserve">✅ Reales System: Ein reales System ohne Sub-Metering ist nicht wertlos — aber es muss die Datenquelle klar ausweisen (Lieferantenrechnungen statt Zählerwerte) und die Unsicherheit der Messung dokumentieren. Rechnungsbasierte Daten sind messbar und reproduzierbar; Schätzungen sind es nicht.</w:t>
      </w:r>
    </w:p>
    <w:p>
      <w:pPr>
        <w:spacing w:after="40" w:before="80"/>
        <w:jc w:val="left"/>
      </w:pPr>
      <w:r>
        <w:rPr>
          <w:rFonts w:ascii="Georgia" w:cs="Georgia" w:eastAsia="Georgia" w:hAnsi="Georgia"/>
          <w:i/>
          <w:iCs/>
          <w:color w:val="555555"/>
          <w:sz w:val="17"/>
          <w:szCs w:val="17"/>
        </w:rPr>
        <w:t xml:space="preserve">Aktive Warnsignale in diesem Fall:</w:t>
      </w:r>
    </w:p>
    <w:p>
      <w:pPr>
        <w:spacing w:after="80" w:before="0"/>
      </w:pPr>
      <w:r>
        <w:rPr>
          <w:rFonts w:ascii="Georgia" w:cs="Georgia" w:eastAsia="Georgia" w:hAnsi="Georgia"/>
          <w:b/>
          <w:bCs/>
          <w:color w:val="784212"/>
          <w:sz w:val="17"/>
          <w:szCs w:val="17"/>
        </w:rPr>
        <w:t xml:space="preserve">W3 — Runde Kennzahlen ohne Quellennachweis   </w:t>
      </w:r>
      <w:r>
        <w:rPr>
          <w:rFonts w:ascii="Georgia" w:cs="Georgia" w:eastAsia="Georgia" w:hAnsi="Georgia"/>
          <w:b/>
          <w:bCs/>
          <w:color w:val="784212"/>
          <w:sz w:val="17"/>
          <w:szCs w:val="17"/>
        </w:rPr>
        <w:t xml:space="preserve">W3 — Lineare Verbesserungstrajektorie   </w:t>
      </w:r>
    </w:p>
    <w:p>
      <w:pPr>
        <w:spacing w:after="0" w:before="300"/>
      </w:pPr>
      <w:r>
        <w:t xml:space="preserve"/>
      </w:r>
    </w:p>
    <w:p>
      <w:pPr>
        <w:shd w:fill="FEF9E7" w:color="auto" w:val="clear"/>
        <w:spacing w:after="40" w:before="0"/>
        <w:ind w:left="120"/>
        <w:jc w:val="left"/>
      </w:pPr>
      <w:r>
        <w:rPr>
          <w:rFonts w:ascii="Georgia" w:cs="Georgia" w:eastAsia="Georgia" w:hAnsi="Georgia"/>
          <w:b/>
          <w:bCs/>
          <w:color w:val="784212"/>
          <w:sz w:val="24"/>
          <w:szCs w:val="24"/>
        </w:rPr>
        <w:t xml:space="preserve">Fall F3 — </w:t>
      </w:r>
      <w:r>
        <w:rPr>
          <w:rFonts w:ascii="Georgia" w:cs="Georgia" w:eastAsia="Georgia" w:hAnsi="Georgia"/>
          <w:b/>
          <w:bCs/>
          <w:color w:val="1A1A2E"/>
          <w:sz w:val="22"/>
          <w:szCs w:val="22"/>
        </w:rPr>
        <w:t xml:space="preserve">Der perfekte Audittag</w:t>
      </w:r>
    </w:p>
    <w:p>
      <w:pPr>
        <w:shd w:fill="FEF9E7" w:color="auto" w:val="clear"/>
        <w:spacing w:after="40" w:before="0"/>
        <w:ind w:left="120"/>
        <w:jc w:val="left"/>
      </w:pPr>
      <w:r>
        <w:rPr>
          <w:rFonts w:ascii="Georgia" w:cs="Georgia" w:eastAsia="Georgia" w:hAnsi="Georgia"/>
          <w:sz w:val="17"/>
          <w:szCs w:val="17"/>
        </w:rPr>
        <w:t xml:space="preserve">🏨 </w:t>
      </w:r>
      <w:r>
        <w:rPr>
          <w:rFonts w:ascii="Georgia" w:cs="Georgia" w:eastAsia="Georgia" w:hAnsi="Georgia"/>
          <w:i/>
          <w:iCs/>
          <w:color w:val="555555"/>
          <w:sz w:val="17"/>
          <w:szCs w:val="17"/>
        </w:rPr>
        <w:t xml:space="preserve">Fünf-Sterne-Stadthotel | 220 Zimmer | Wien Innenstadt | 6 Jahre zertifiziert</w:t>
      </w:r>
      <w:r>
        <w:rPr>
          <w:rFonts w:ascii="Georgia" w:cs="Georgia" w:eastAsia="Georgia" w:hAnsi="Georgia"/>
          <w:color w:val="555555"/>
          <w:sz w:val="17"/>
          <w:szCs w:val="17"/>
        </w:rPr>
        <w:t xml:space="preserve">   •   Primärdiagnose: </w:t>
      </w:r>
      <w:r>
        <w:rPr>
          <w:rFonts w:ascii="Georgia" w:cs="Georgia" w:eastAsia="Georgia" w:hAnsi="Georgia"/>
          <w:b/>
          <w:bCs/>
          <w:color w:val="784212"/>
          <w:sz w:val="17"/>
          <w:szCs w:val="17"/>
        </w:rPr>
        <w:t xml:space="preserve">Reaktionsmuster + Dokumentationsmuster</w:t>
      </w:r>
    </w:p>
    <w:p>
      <w:pPr>
        <w:spacing w:after="0" w:before="60"/>
      </w:pPr>
      <w:r>
        <w:t xml:space="preserve"/>
      </w:r>
    </w:p>
    <w:p>
      <w:pPr>
        <w:spacing w:after="60" w:before="0"/>
        <w:jc w:val="left"/>
      </w:pPr>
      <w:r>
        <w:rPr>
          <w:rFonts w:ascii="Georgia" w:cs="Georgia" w:eastAsia="Georgia" w:hAnsi="Georgia"/>
          <w:b/>
          <w:bCs/>
          <w:i/>
          <w:iCs/>
          <w:color w:val="1A1A2E"/>
          <w:sz w:val="20"/>
          <w:szCs w:val="20"/>
        </w:rPr>
        <w:t xml:space="preserve">Kontext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Das Hotel hatte seit Jahren ausgezeichnete Überwachungsergebnisse. Der UMB war außergewöhnlich gut vorbereitet: Alle Evidenzen griffbereit, alle Verfahren aktuell, alle Schulungsregister vollständig. Die Auditorin hatte das Gefühl, einem Drehbuch zuzusehen.</w:t>
      </w:r>
    </w:p>
    <w:p>
      <w:pPr>
        <w:spacing w:after="60" w:before="120"/>
        <w:jc w:val="left"/>
      </w:pPr>
      <w:r>
        <w:rPr>
          <w:rFonts w:ascii="Georgia" w:cs="Georgia" w:eastAsia="Georgia" w:hAnsi="Georgia"/>
          <w:b/>
          <w:bCs/>
          <w:i/>
          <w:iCs/>
          <w:color w:val="784212"/>
          <w:sz w:val="20"/>
          <w:szCs w:val="20"/>
        </w:rPr>
        <w:t xml:space="preserve">Auditentdeckung — was der Auditor fand</w:t>
      </w:r>
    </w:p>
    <w:p>
      <w:pPr>
        <w:spacing w:after="80" w:before="50" w:line="276" w:lineRule="auto"/>
        <w:ind w:left="340" w:hanging="20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Die Auditorin wich vom geplanten Auditplan ab. Statt des Maschinenraums besuchte sie spontan die Außenwäscherei-Station. Der UMB wirkte kurz überrascht, führte sie aber korrekt hin.</w:t>
      </w:r>
    </w:p>
    <w:p>
      <w:pPr>
        <w:spacing w:after="80" w:before="50" w:line="276" w:lineRule="auto"/>
        <w:ind w:left="340" w:hanging="20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In der Wäscherei fragte die Auditorin die Leiterin: 'Was machen Sie, wenn eine Waschmaschine während des Betriebs ausläuft und Reinigungsmittel auf den Boden gelangt?' Antwort (nach Zögern): 'Das ist noch nie passiert.' Wahrscheinlichkeit: in einem Hotel mit industrieller Wäscherei ist das 'noch nie passiert' statistisch nicht glaubwürdig.</w:t>
      </w:r>
    </w:p>
    <w:p>
      <w:pPr>
        <w:spacing w:after="80" w:before="50" w:line="276" w:lineRule="auto"/>
        <w:ind w:left="340" w:hanging="20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Das Nichtkonformitäten-Register der letzten sechs Jahre zeigte 23 leichte NCs — alle within 15 Tagen geschlossen, alle mit identischer RCA-Tiefe. Keine einzige NC, die zu einer Verfahrensrevision geführt hatte. Keine einzige Beobachtung, die als potenzielle NC markiert worden war.</w:t>
      </w:r>
    </w:p>
    <w:p>
      <w:pPr>
        <w:spacing w:after="80" w:before="50" w:line="276" w:lineRule="auto"/>
        <w:ind w:left="340" w:hanging="200"/>
        <w:jc w:val="both"/>
      </w:pPr>
      <w:r>
        <w:rPr>
          <w:rFonts w:ascii="Georgia" w:cs="Georgia" w:eastAsia="Georgia" w:hAnsi="Georgia"/>
          <w:b/>
          <w:bCs/>
          <w:color w:val="784212"/>
          <w:sz w:val="20"/>
          <w:szCs w:val="20"/>
        </w:rPr>
        <w:t xml:space="preserve">4.  </w:t>
      </w:r>
      <w:r>
        <w:rPr>
          <w:rFonts w:ascii="Georgia" w:cs="Georgia" w:eastAsia="Georgia" w:hAnsi="Georgia"/>
          <w:color w:val="1A1A2E"/>
          <w:sz w:val="20"/>
          <w:szCs w:val="20"/>
        </w:rPr>
        <w:t xml:space="preserve">Die Auditorin fragte den Generaldirektor: 'Was war der schwierigste Umweltmoment der letzten Jahre im Hotel?' Antwort: 'Unser UMB macht das alles hervorragend — ich vertraue ihm vollständig.' Kein konkretes Ereignis, keine persönliche Erinnerung.</w:t>
      </w:r>
    </w:p>
    <w:p>
      <w:pPr>
        <w:spacing w:after="80" w:before="50" w:line="276" w:lineRule="auto"/>
        <w:ind w:left="340" w:hanging="200"/>
        <w:jc w:val="both"/>
      </w:pPr>
      <w:r>
        <w:rPr>
          <w:rFonts w:ascii="Georgia" w:cs="Georgia" w:eastAsia="Georgia" w:hAnsi="Georgia"/>
          <w:b/>
          <w:bCs/>
          <w:color w:val="784212"/>
          <w:sz w:val="20"/>
          <w:szCs w:val="20"/>
        </w:rPr>
        <w:t xml:space="preserve">5.  </w:t>
      </w:r>
      <w:r>
        <w:rPr>
          <w:rFonts w:ascii="Georgia" w:cs="Georgia" w:eastAsia="Georgia" w:hAnsi="Georgia"/>
          <w:color w:val="1A1A2E"/>
          <w:sz w:val="20"/>
          <w:szCs w:val="20"/>
        </w:rPr>
        <w:t xml:space="preserve">Bei der Überprüfung des Konformitätspflichtregisters fand die Auditorin: Die EUDR war nicht aufgenommen. Auf Nachfrage: 'Die EUDR betrifft uns nicht direkt als Hotel.' Die Struktur kaufte täglich Kaffee, Kakao und Palmöl-haltige Produkte von einem Direktimporteur.</w:t>
      </w:r>
    </w:p>
    <w:p>
      <w:pPr>
        <w:spacing w:after="0" w:before="60"/>
      </w:pPr>
      <w:r>
        <w:t xml:space="preserve"/>
      </w:r>
    </w:p>
    <w:p>
      <w:pPr>
        <w:shd w:fill="FFF9C4" w:color="auto" w:val="clear"/>
        <w:spacing w:after="80" w:before="80" w:line="264" w:lineRule="auto"/>
        <w:ind w:left="180" w:right="180"/>
        <w:jc w:val="both"/>
      </w:pPr>
      <w:r>
        <w:rPr>
          <w:rFonts w:ascii="Georgia" w:cs="Georgia" w:eastAsia="Georgia" w:hAnsi="Georgia"/>
          <w:i/>
          <w:iCs/>
          <w:color w:val="7D6608"/>
          <w:sz w:val="17"/>
          <w:szCs w:val="17"/>
        </w:rPr>
        <w:t xml:space="preserve">🔍 Befund: Das System war hochprofessionell für den Audittag optimiert worden. Die spontanen Fragen und die Abweichung vom Plan enthüllten die Grenzen des Drehbuches: Personal ohne spontane Systemkenntnis, Management ohne persönliche Systeminvolviertheit, Konformitätspflichtlücken bei neuerer Regulierung.</w:t>
      </w:r>
    </w:p>
    <w:p>
      <w:pPr>
        <w:shd w:fill="FDECEA" w:color="auto" w:val="clear"/>
        <w:spacing w:after="80" w:before="80" w:line="264" w:lineRule="auto"/>
        <w:ind w:left="180" w:right="180"/>
        <w:jc w:val="both"/>
      </w:pPr>
      <w:r>
        <w:rPr>
          <w:rFonts w:ascii="Georgia" w:cs="Georgia" w:eastAsia="Georgia" w:hAnsi="Georgia"/>
          <w:i/>
          <w:iCs/>
          <w:color w:val="6E2F2F"/>
          <w:sz w:val="17"/>
          <w:szCs w:val="17"/>
        </w:rPr>
        <w:t xml:space="preserve">🔗 Ursache: Der UMB war hochkompetent und systemkennend — aber er hatte das System als persönliches Kompetenzfeld aufgebaut, nicht als Organisationskapazität. Das System wusste, was der UMB wusste. Der Rest der Organisation wusste, was er ihnen mitteilte — nicht mehr.</w:t>
      </w:r>
    </w:p>
    <w:p>
      <w:pPr>
        <w:shd w:fill="EAFAF1" w:color="auto" w:val="clear"/>
        <w:spacing w:after="80" w:before="80" w:line="264" w:lineRule="auto"/>
        <w:ind w:left="180" w:right="180"/>
        <w:jc w:val="both"/>
      </w:pPr>
      <w:r>
        <w:rPr>
          <w:rFonts w:ascii="Georgia" w:cs="Georgia" w:eastAsia="Georgia" w:hAnsi="Georgia"/>
          <w:i/>
          <w:iCs/>
          <w:color w:val="1E8449"/>
          <w:sz w:val="17"/>
          <w:szCs w:val="17"/>
        </w:rPr>
        <w:t xml:space="preserve">✅ Reales System: In einem echten System kennt der Generaldirektor konkrete Umweltereignisse aus persönlicher Erinnerung. Personal beschreibt nicht-eingetretene Szenarien mit spontaner Handlungsüberlegung. Das Konformitätspflichtregister wird bei jeder neuen EU-Regulierung innerhalb von 30 Tagen aktualisiert.</w:t>
      </w:r>
    </w:p>
    <w:p>
      <w:pPr>
        <w:spacing w:after="40" w:before="80"/>
        <w:jc w:val="left"/>
      </w:pPr>
      <w:r>
        <w:rPr>
          <w:rFonts w:ascii="Georgia" w:cs="Georgia" w:eastAsia="Georgia" w:hAnsi="Georgia"/>
          <w:i/>
          <w:iCs/>
          <w:color w:val="555555"/>
          <w:sz w:val="17"/>
          <w:szCs w:val="17"/>
        </w:rPr>
        <w:t xml:space="preserve">Aktive Warnsignale in diesem Fall:</w:t>
      </w:r>
    </w:p>
    <w:p>
      <w:pPr>
        <w:spacing w:after="80" w:before="0"/>
      </w:pPr>
      <w:r>
        <w:rPr>
          <w:rFonts w:ascii="Georgia" w:cs="Georgia" w:eastAsia="Georgia" w:hAnsi="Georgia"/>
          <w:b/>
          <w:bCs/>
          <w:color w:val="6E2F2F"/>
          <w:sz w:val="17"/>
          <w:szCs w:val="17"/>
        </w:rPr>
        <w:t xml:space="preserve">W4 — Einstudierte Antworten   </w:t>
      </w:r>
      <w:r>
        <w:rPr>
          <w:rFonts w:ascii="Georgia" w:cs="Georgia" w:eastAsia="Georgia" w:hAnsi="Georgia"/>
          <w:b/>
          <w:bCs/>
          <w:color w:val="117A65"/>
          <w:sz w:val="17"/>
          <w:szCs w:val="17"/>
        </w:rPr>
        <w:t xml:space="preserve">W2 — System-Singularität beim UMB   </w:t>
      </w:r>
      <w:r>
        <w:rPr>
          <w:rFonts w:ascii="Georgia" w:cs="Georgia" w:eastAsia="Georgia" w:hAnsi="Georgia"/>
          <w:b/>
          <w:bCs/>
          <w:color w:val="1F618D"/>
          <w:sz w:val="17"/>
          <w:szCs w:val="17"/>
        </w:rPr>
        <w:t xml:space="preserve">W1 — NCs ohne Verfahrensrevision   </w:t>
      </w:r>
    </w:p>
    <w:p>
      <w:pPr>
        <w:spacing w:after="0" w:before="300"/>
      </w:pPr>
      <w:r>
        <w:t xml:space="preserve"/>
      </w:r>
    </w:p>
    <w:p>
      <w:pPr>
        <w:shd w:fill="FEF9E7" w:color="auto" w:val="clear"/>
        <w:spacing w:after="40" w:before="0"/>
        <w:ind w:left="120"/>
        <w:jc w:val="left"/>
      </w:pPr>
      <w:r>
        <w:rPr>
          <w:rFonts w:ascii="Georgia" w:cs="Georgia" w:eastAsia="Georgia" w:hAnsi="Georgia"/>
          <w:b/>
          <w:bCs/>
          <w:color w:val="784212"/>
          <w:sz w:val="24"/>
          <w:szCs w:val="24"/>
        </w:rPr>
        <w:t xml:space="preserve">Fall F4 — </w:t>
      </w:r>
      <w:r>
        <w:rPr>
          <w:rFonts w:ascii="Georgia" w:cs="Georgia" w:eastAsia="Georgia" w:hAnsi="Georgia"/>
          <w:b/>
          <w:bCs/>
          <w:color w:val="1A1A2E"/>
          <w:sz w:val="22"/>
          <w:szCs w:val="22"/>
        </w:rPr>
        <w:t xml:space="preserve">Das Zertifikat in der Broschüre</w:t>
      </w:r>
    </w:p>
    <w:p>
      <w:pPr>
        <w:shd w:fill="FEF9E7" w:color="auto" w:val="clear"/>
        <w:spacing w:after="40" w:before="0"/>
        <w:ind w:left="120"/>
        <w:jc w:val="left"/>
      </w:pPr>
      <w:r>
        <w:rPr>
          <w:rFonts w:ascii="Georgia" w:cs="Georgia" w:eastAsia="Georgia" w:hAnsi="Georgia"/>
          <w:sz w:val="17"/>
          <w:szCs w:val="17"/>
        </w:rPr>
        <w:t xml:space="preserve">🏨 </w:t>
      </w:r>
      <w:r>
        <w:rPr>
          <w:rFonts w:ascii="Georgia" w:cs="Georgia" w:eastAsia="Georgia" w:hAnsi="Georgia"/>
          <w:i/>
          <w:iCs/>
          <w:color w:val="555555"/>
          <w:sz w:val="17"/>
          <w:szCs w:val="17"/>
        </w:rPr>
        <w:t xml:space="preserve">Vier-Sterne-MICE-Hotel | 180 Zimmer | München Messegelände | 4 Jahre zertifiziert</w:t>
      </w:r>
      <w:r>
        <w:rPr>
          <w:rFonts w:ascii="Georgia" w:cs="Georgia" w:eastAsia="Georgia" w:hAnsi="Georgia"/>
          <w:color w:val="555555"/>
          <w:sz w:val="17"/>
          <w:szCs w:val="17"/>
        </w:rPr>
        <w:t xml:space="preserve">   •   Primärdiagnose: </w:t>
      </w:r>
      <w:r>
        <w:rPr>
          <w:rFonts w:ascii="Georgia" w:cs="Georgia" w:eastAsia="Georgia" w:hAnsi="Georgia"/>
          <w:b/>
          <w:bCs/>
          <w:color w:val="784212"/>
          <w:sz w:val="17"/>
          <w:szCs w:val="17"/>
        </w:rPr>
        <w:t xml:space="preserve">Systemkohärenz + Personalmuster</w:t>
      </w:r>
    </w:p>
    <w:p>
      <w:pPr>
        <w:spacing w:after="0" w:before="60"/>
      </w:pPr>
      <w:r>
        <w:t xml:space="preserve"/>
      </w:r>
    </w:p>
    <w:p>
      <w:pPr>
        <w:spacing w:after="60" w:before="0"/>
        <w:jc w:val="left"/>
      </w:pPr>
      <w:r>
        <w:rPr>
          <w:rFonts w:ascii="Georgia" w:cs="Georgia" w:eastAsia="Georgia" w:hAnsi="Georgia"/>
          <w:b/>
          <w:bCs/>
          <w:i/>
          <w:iCs/>
          <w:color w:val="1A1A2E"/>
          <w:sz w:val="20"/>
          <w:szCs w:val="20"/>
        </w:rPr>
        <w:t xml:space="preserve">Kontext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Das Hotel kommunizierte die ISO-14001-Zertifizierung prominent auf allen Marketingmaterialien und dem HRS-Profil. Der Corporate-Verkauf nutzte das Zertifikat aktiv als Argument gegenüber Einkaufsverantwortlichen mit LkSG-Pflichten.</w:t>
      </w:r>
    </w:p>
    <w:p>
      <w:pPr>
        <w:spacing w:after="60" w:before="120"/>
        <w:jc w:val="left"/>
      </w:pPr>
      <w:r>
        <w:rPr>
          <w:rFonts w:ascii="Georgia" w:cs="Georgia" w:eastAsia="Georgia" w:hAnsi="Georgia"/>
          <w:b/>
          <w:bCs/>
          <w:i/>
          <w:iCs/>
          <w:color w:val="784212"/>
          <w:sz w:val="20"/>
          <w:szCs w:val="20"/>
        </w:rPr>
        <w:t xml:space="preserve">Auditentdeckung — was der Auditor fand</w:t>
      </w:r>
    </w:p>
    <w:p>
      <w:pPr>
        <w:spacing w:after="80" w:before="50" w:line="276" w:lineRule="auto"/>
        <w:ind w:left="340" w:hanging="20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Der interne Auditor prüfte die tatsächliche Umsetzung des Lieferanten-Engagement-Programms. Im Engagement-Log: 12 kritische Lieferanten identifiziert, Fragebögen versandt im April. Rücklaufquote: 8/12.</w:t>
      </w:r>
    </w:p>
    <w:p>
      <w:pPr>
        <w:spacing w:after="80" w:before="50" w:line="276" w:lineRule="auto"/>
        <w:ind w:left="340" w:hanging="20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Vier nicht antwortende Lieferanten — darunter der Fleischlieferant mit einem geschätzten Emissionsgewicht von 240 tCO₂äq/Jahr. Im Log: kein Follow-up dokumentiert nach dem ersten Versand.</w:t>
      </w:r>
    </w:p>
    <w:p>
      <w:pPr>
        <w:spacing w:after="80" w:before="50" w:line="276" w:lineRule="auto"/>
        <w:ind w:left="340" w:hanging="20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Der Auditor fragte den F&amp;B-Direktor nach dem Fleischlieferanten: 'Haben Sie den Fragebogen erhalten?' Antwort: 'Was für ein Fragebogen?' Der F&amp;B-Direktor — zuständig für die Lieferantenbeziehung — wusste nicht, dass ein ESG-Fragebogen versandt worden war.</w:t>
      </w:r>
    </w:p>
    <w:p>
      <w:pPr>
        <w:spacing w:after="80" w:before="50" w:line="276" w:lineRule="auto"/>
        <w:ind w:left="340" w:hanging="200"/>
        <w:jc w:val="both"/>
      </w:pPr>
      <w:r>
        <w:rPr>
          <w:rFonts w:ascii="Georgia" w:cs="Georgia" w:eastAsia="Georgia" w:hAnsi="Georgia"/>
          <w:b/>
          <w:bCs/>
          <w:color w:val="784212"/>
          <w:sz w:val="20"/>
          <w:szCs w:val="20"/>
        </w:rPr>
        <w:t xml:space="preserve">4.  </w:t>
      </w:r>
      <w:r>
        <w:rPr>
          <w:rFonts w:ascii="Georgia" w:cs="Georgia" w:eastAsia="Georgia" w:hAnsi="Georgia"/>
          <w:color w:val="1A1A2E"/>
          <w:sz w:val="20"/>
          <w:szCs w:val="20"/>
        </w:rPr>
        <w:t xml:space="preserve">Das Konformitätspflichtregister zeigte korrekt das LkSG für betroffene Kunden — aber keine interne Pflicht der Struktur selbst. Das Hotel hatte 280 Mitarbeitende und überschritt die LkSG-Schwelle (1.000 MA) nicht. Aber das Register enthielt die LkSG-Anforderungen der Kunden als eigene Pflicht ohne diese Differenzierung.</w:t>
      </w:r>
    </w:p>
    <w:p>
      <w:pPr>
        <w:spacing w:after="80" w:before="50" w:line="276" w:lineRule="auto"/>
        <w:ind w:left="340" w:hanging="200"/>
        <w:jc w:val="both"/>
      </w:pPr>
      <w:r>
        <w:rPr>
          <w:rFonts w:ascii="Georgia" w:cs="Georgia" w:eastAsia="Georgia" w:hAnsi="Georgia"/>
          <w:b/>
          <w:bCs/>
          <w:color w:val="784212"/>
          <w:sz w:val="20"/>
          <w:szCs w:val="20"/>
        </w:rPr>
        <w:t xml:space="preserve">5.  </w:t>
      </w:r>
      <w:r>
        <w:rPr>
          <w:rFonts w:ascii="Georgia" w:cs="Georgia" w:eastAsia="Georgia" w:hAnsi="Georgia"/>
          <w:color w:val="1A1A2E"/>
          <w:sz w:val="20"/>
          <w:szCs w:val="20"/>
        </w:rPr>
        <w:t xml:space="preserve">Beim Rundgang in der Küche: vier Behälter für Abfalltrennung, korrekt beschriftet. Aber der Bioabfall-Behälter enthielt sichtbar Kunststoffverpackungen. Auf Nachfrage beim Koch: 'Den Bioabfall machen wir tagsüber. Jetzt ist Mittagshochbetrieb.'</w:t>
      </w:r>
    </w:p>
    <w:p>
      <w:pPr>
        <w:spacing w:after="0" w:before="60"/>
      </w:pPr>
      <w:r>
        <w:t xml:space="preserve"/>
      </w:r>
    </w:p>
    <w:p>
      <w:pPr>
        <w:shd w:fill="FFF9C4" w:color="auto" w:val="clear"/>
        <w:spacing w:after="80" w:before="80" w:line="264" w:lineRule="auto"/>
        <w:ind w:left="180" w:right="180"/>
        <w:jc w:val="both"/>
      </w:pPr>
      <w:r>
        <w:rPr>
          <w:rFonts w:ascii="Georgia" w:cs="Georgia" w:eastAsia="Georgia" w:hAnsi="Georgia"/>
          <w:i/>
          <w:iCs/>
          <w:color w:val="7D6608"/>
          <w:sz w:val="17"/>
          <w:szCs w:val="17"/>
        </w:rPr>
        <w:t xml:space="preserve">🔍 Befund: Das System existierte als vollständige Dokumentationsstruktur — aber die Lieferanteninteraktion war auf den UMB konzentriert, ohne operative Einbindung der für die Lieferantenbeziehungen Verantwortlichen. Die Abfalltrennung in der Küche war ein Verfahren ohne operative Konsequenz im Hochbetrieb.</w:t>
      </w:r>
    </w:p>
    <w:p>
      <w:pPr>
        <w:shd w:fill="FDECEA" w:color="auto" w:val="clear"/>
        <w:spacing w:after="80" w:before="80" w:line="264" w:lineRule="auto"/>
        <w:ind w:left="180" w:right="180"/>
        <w:jc w:val="both"/>
      </w:pPr>
      <w:r>
        <w:rPr>
          <w:rFonts w:ascii="Georgia" w:cs="Georgia" w:eastAsia="Georgia" w:hAnsi="Georgia"/>
          <w:i/>
          <w:iCs/>
          <w:color w:val="6E2F2F"/>
          <w:sz w:val="17"/>
          <w:szCs w:val="17"/>
        </w:rPr>
        <w:t xml:space="preserve">🔗 Ursache: Das System war in einer Phase des Wachstums zertifiziert worden, in der die Struktur Corporate-Kunden qualifizieren musste. Die Zertifizierung war Mittel zum Zweck — und nach der Zertifizierung war das Ziel erreicht, bevor das System verankert war.</w:t>
      </w:r>
    </w:p>
    <w:p>
      <w:pPr>
        <w:shd w:fill="EAFAF1" w:color="auto" w:val="clear"/>
        <w:spacing w:after="80" w:before="80" w:line="264" w:lineRule="auto"/>
        <w:ind w:left="180" w:right="180"/>
        <w:jc w:val="both"/>
      </w:pPr>
      <w:r>
        <w:rPr>
          <w:rFonts w:ascii="Georgia" w:cs="Georgia" w:eastAsia="Georgia" w:hAnsi="Georgia"/>
          <w:i/>
          <w:iCs/>
          <w:color w:val="1E8449"/>
          <w:sz w:val="17"/>
          <w:szCs w:val="17"/>
        </w:rPr>
        <w:t xml:space="preserve">✅ Reales System: In einem echten System weiß der F&amp;B-Direktor von jedem Fragebogen, der an seine Lieferanten geht — weil er in den Prozess eingebunden ist. Die Abfalltrennung in der Küche funktioniert im Hochbetrieb genauso wie im ruhigen Betrieb, weil sie als Betriebsroutine eingebettet ist, nicht als Sonderverfahren.</w:t>
      </w:r>
    </w:p>
    <w:p>
      <w:pPr>
        <w:spacing w:after="40" w:before="80"/>
        <w:jc w:val="left"/>
      </w:pPr>
      <w:r>
        <w:rPr>
          <w:rFonts w:ascii="Georgia" w:cs="Georgia" w:eastAsia="Georgia" w:hAnsi="Georgia"/>
          <w:i/>
          <w:iCs/>
          <w:color w:val="555555"/>
          <w:sz w:val="17"/>
          <w:szCs w:val="17"/>
        </w:rPr>
        <w:t xml:space="preserve">Aktive Warnsignale in diesem Fall:</w:t>
      </w:r>
    </w:p>
    <w:p>
      <w:pPr>
        <w:spacing w:after="80" w:before="0"/>
      </w:pPr>
      <w:r>
        <w:rPr>
          <w:rFonts w:ascii="Georgia" w:cs="Georgia" w:eastAsia="Georgia" w:hAnsi="Georgia"/>
          <w:b/>
          <w:bCs/>
          <w:color w:val="4A235A"/>
          <w:sz w:val="17"/>
          <w:szCs w:val="17"/>
        </w:rPr>
        <w:t xml:space="preserve">W5 — Infrastruktur ohne operativen Gebrauch   </w:t>
      </w:r>
      <w:r>
        <w:rPr>
          <w:rFonts w:ascii="Georgia" w:cs="Georgia" w:eastAsia="Georgia" w:hAnsi="Georgia"/>
          <w:b/>
          <w:bCs/>
          <w:color w:val="117A65"/>
          <w:sz w:val="17"/>
          <w:szCs w:val="17"/>
        </w:rPr>
        <w:t xml:space="preserve">W2 — Linienmanagement ohne Systemkenntnis   </w:t>
      </w:r>
    </w:p>
    <w:p>
      <w:pPr>
        <w:spacing w:after="0" w:before="300"/>
      </w:pPr>
      <w:r>
        <w:t xml:space="preserve"/>
      </w:r>
    </w:p>
    <w:p>
      <w:pPr>
        <w:shd w:fill="FEF9E7" w:color="auto" w:val="clear"/>
        <w:spacing w:after="40" w:before="0"/>
        <w:ind w:left="120"/>
        <w:jc w:val="left"/>
      </w:pPr>
      <w:r>
        <w:rPr>
          <w:rFonts w:ascii="Georgia" w:cs="Georgia" w:eastAsia="Georgia" w:hAnsi="Georgia"/>
          <w:b/>
          <w:bCs/>
          <w:color w:val="784212"/>
          <w:sz w:val="24"/>
          <w:szCs w:val="24"/>
        </w:rPr>
        <w:t xml:space="preserve">Fall F5 — </w:t>
      </w:r>
      <w:r>
        <w:rPr>
          <w:rFonts w:ascii="Georgia" w:cs="Georgia" w:eastAsia="Georgia" w:hAnsi="Georgia"/>
          <w:b/>
          <w:bCs/>
          <w:color w:val="1A1A2E"/>
          <w:sz w:val="22"/>
          <w:szCs w:val="22"/>
        </w:rPr>
        <w:t xml:space="preserve">Die zu frischen Verfahren</w:t>
      </w:r>
    </w:p>
    <w:p>
      <w:pPr>
        <w:shd w:fill="FEF9E7" w:color="auto" w:val="clear"/>
        <w:spacing w:after="40" w:before="0"/>
        <w:ind w:left="120"/>
        <w:jc w:val="left"/>
      </w:pPr>
      <w:r>
        <w:rPr>
          <w:rFonts w:ascii="Georgia" w:cs="Georgia" w:eastAsia="Georgia" w:hAnsi="Georgia"/>
          <w:sz w:val="17"/>
          <w:szCs w:val="17"/>
        </w:rPr>
        <w:t xml:space="preserve">🏨 </w:t>
      </w:r>
      <w:r>
        <w:rPr>
          <w:rFonts w:ascii="Georgia" w:cs="Georgia" w:eastAsia="Georgia" w:hAnsi="Georgia"/>
          <w:i/>
          <w:iCs/>
          <w:color w:val="555555"/>
          <w:sz w:val="17"/>
          <w:szCs w:val="17"/>
        </w:rPr>
        <w:t xml:space="preserve">Boutique-Hotel | 48 Zimmer | Zürich Altstadt | 2 Jahre zertifiziert</w:t>
      </w:r>
      <w:r>
        <w:rPr>
          <w:rFonts w:ascii="Georgia" w:cs="Georgia" w:eastAsia="Georgia" w:hAnsi="Georgia"/>
          <w:color w:val="555555"/>
          <w:sz w:val="17"/>
          <w:szCs w:val="17"/>
        </w:rPr>
        <w:t xml:space="preserve">   •   Primärdiagnose: </w:t>
      </w:r>
      <w:r>
        <w:rPr>
          <w:rFonts w:ascii="Georgia" w:cs="Georgia" w:eastAsia="Georgia" w:hAnsi="Georgia"/>
          <w:b/>
          <w:bCs/>
          <w:color w:val="784212"/>
          <w:sz w:val="17"/>
          <w:szCs w:val="17"/>
        </w:rPr>
        <w:t xml:space="preserve">Dokumentationsmuster</w:t>
      </w:r>
    </w:p>
    <w:p>
      <w:pPr>
        <w:spacing w:after="0" w:before="60"/>
      </w:pPr>
      <w:r>
        <w:t xml:space="preserve"/>
      </w:r>
    </w:p>
    <w:p>
      <w:pPr>
        <w:spacing w:after="60" w:before="0"/>
        <w:jc w:val="left"/>
      </w:pPr>
      <w:r>
        <w:rPr>
          <w:rFonts w:ascii="Georgia" w:cs="Georgia" w:eastAsia="Georgia" w:hAnsi="Georgia"/>
          <w:b/>
          <w:bCs/>
          <w:i/>
          <w:iCs/>
          <w:color w:val="1A1A2E"/>
          <w:sz w:val="20"/>
          <w:szCs w:val="20"/>
        </w:rPr>
        <w:t xml:space="preserve">Kontext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Das Hotel war zwei Jahre nach einem Eigentümerwechsel zertifiziert worden. Das neue Management hatte den Zertifizierungsweg bewusst schnell beschritten, um sich im Corporate-Zürich-Markt zu positionieren. Die Zertifizierung war in 11 Monaten erreicht worden.</w:t>
      </w:r>
    </w:p>
    <w:p>
      <w:pPr>
        <w:spacing w:after="60" w:before="120"/>
        <w:jc w:val="left"/>
      </w:pPr>
      <w:r>
        <w:rPr>
          <w:rFonts w:ascii="Georgia" w:cs="Georgia" w:eastAsia="Georgia" w:hAnsi="Georgia"/>
          <w:b/>
          <w:bCs/>
          <w:i/>
          <w:iCs/>
          <w:color w:val="784212"/>
          <w:sz w:val="20"/>
          <w:szCs w:val="20"/>
        </w:rPr>
        <w:t xml:space="preserve">Auditentdeckung — was der Auditor fand</w:t>
      </w:r>
    </w:p>
    <w:p>
      <w:pPr>
        <w:spacing w:after="80" w:before="50" w:line="276" w:lineRule="auto"/>
        <w:ind w:left="340" w:hanging="20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Bei der ersten internen Überwachung nach dem Zertifizierungsaudit prüfte die externe UMB-Beraterin die Systemdokumentation. Alle 34 Verfahren hatten als Versionsdatum den Monat vor der Erstzertifizierung.</w:t>
      </w:r>
    </w:p>
    <w:p>
      <w:pPr>
        <w:spacing w:after="80" w:before="50" w:line="276" w:lineRule="auto"/>
        <w:ind w:left="340" w:hanging="20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Kein einziges Verfahren hatte seit der Zertifizierung eine Revision erfahren — obwohl 9 Monate vergangen waren. Ein operatives System revisioniert Verfahren, wenn es operative Erfahrung gewinnt.</w:t>
      </w:r>
    </w:p>
    <w:p>
      <w:pPr>
        <w:spacing w:after="80" w:before="50" w:line="276" w:lineRule="auto"/>
        <w:ind w:left="340" w:hanging="20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Das Nichtkonformitäten-Register: null Einträge seit der Zertifizierung. In einem Hotel im Betrieb, das 9 Monate lang täglich operiert hat, keine einzige identifizierte NC — weder intern noch aus Lieferanteninteraktionen. Statistisch unwahrscheinlich.</w:t>
      </w:r>
    </w:p>
    <w:p>
      <w:pPr>
        <w:spacing w:after="80" w:before="50" w:line="276" w:lineRule="auto"/>
        <w:ind w:left="340" w:hanging="200"/>
        <w:jc w:val="both"/>
      </w:pPr>
      <w:r>
        <w:rPr>
          <w:rFonts w:ascii="Georgia" w:cs="Georgia" w:eastAsia="Georgia" w:hAnsi="Georgia"/>
          <w:b/>
          <w:bCs/>
          <w:color w:val="784212"/>
          <w:sz w:val="20"/>
          <w:szCs w:val="20"/>
        </w:rPr>
        <w:t xml:space="preserve">4.  </w:t>
      </w:r>
      <w:r>
        <w:rPr>
          <w:rFonts w:ascii="Georgia" w:cs="Georgia" w:eastAsia="Georgia" w:hAnsi="Georgia"/>
          <w:color w:val="1A1A2E"/>
          <w:sz w:val="20"/>
          <w:szCs w:val="20"/>
        </w:rPr>
        <w:t xml:space="preserve">Beim Interview mit der Reinigungsleiterin: 'Wir haben jetzt einen grünen Standard. Das bedeutet, wir trennen den Müll.' Pause. 'Und wir haben weniger Wasser verbraucht.' Auf Nachfrage nach dem Wasserverbrauch: Keine konkreten Zahlen bekannt.</w:t>
      </w:r>
    </w:p>
    <w:p>
      <w:pPr>
        <w:spacing w:after="80" w:before="50" w:line="276" w:lineRule="auto"/>
        <w:ind w:left="340" w:hanging="200"/>
        <w:jc w:val="both"/>
      </w:pPr>
      <w:r>
        <w:rPr>
          <w:rFonts w:ascii="Georgia" w:cs="Georgia" w:eastAsia="Georgia" w:hAnsi="Georgia"/>
          <w:b/>
          <w:bCs/>
          <w:color w:val="784212"/>
          <w:sz w:val="20"/>
          <w:szCs w:val="20"/>
        </w:rPr>
        <w:t xml:space="preserve">5.  </w:t>
      </w:r>
      <w:r>
        <w:rPr>
          <w:rFonts w:ascii="Georgia" w:cs="Georgia" w:eastAsia="Georgia" w:hAnsi="Georgia"/>
          <w:color w:val="1A1A2E"/>
          <w:sz w:val="20"/>
          <w:szCs w:val="20"/>
        </w:rPr>
        <w:t xml:space="preserve">Das Energieverbrauchsmonitoring: im System beschrieben als 'monatliche Ablesung der Smart-Meter-Daten'. Beim Prüfen: Die letzte Ablesung im System war vom Monat der Zertifizierung. Neun Monate ohne Energiedateneintrag.</w:t>
      </w:r>
    </w:p>
    <w:p>
      <w:pPr>
        <w:spacing w:after="0" w:before="60"/>
      </w:pPr>
      <w:r>
        <w:t xml:space="preserve"/>
      </w:r>
    </w:p>
    <w:p>
      <w:pPr>
        <w:shd w:fill="FFF9C4" w:color="auto" w:val="clear"/>
        <w:spacing w:after="80" w:before="80" w:line="264" w:lineRule="auto"/>
        <w:ind w:left="180" w:right="180"/>
        <w:jc w:val="both"/>
      </w:pPr>
      <w:r>
        <w:rPr>
          <w:rFonts w:ascii="Georgia" w:cs="Georgia" w:eastAsia="Georgia" w:hAnsi="Georgia"/>
          <w:i/>
          <w:iCs/>
          <w:color w:val="7D6608"/>
          <w:sz w:val="17"/>
          <w:szCs w:val="17"/>
        </w:rPr>
        <w:t xml:space="preserve">🔍 Befund: Das System war für die Erstzertifizierung aufgebaut worden — vollständig und korrekt. Aber die operative Verankerung nach der Zertifizierung war nicht erfolgt. Das System 'schlief' zwischen den externen Überwachungen.</w:t>
      </w:r>
    </w:p>
    <w:p>
      <w:pPr>
        <w:shd w:fill="FDECEA" w:color="auto" w:val="clear"/>
        <w:spacing w:after="80" w:before="80" w:line="264" w:lineRule="auto"/>
        <w:ind w:left="180" w:right="180"/>
        <w:jc w:val="both"/>
      </w:pPr>
      <w:r>
        <w:rPr>
          <w:rFonts w:ascii="Georgia" w:cs="Georgia" w:eastAsia="Georgia" w:hAnsi="Georgia"/>
          <w:i/>
          <w:iCs/>
          <w:color w:val="6E2F2F"/>
          <w:sz w:val="17"/>
          <w:szCs w:val="17"/>
        </w:rPr>
        <w:t xml:space="preserve">🔗 Ursache: Der externe Berater, der das System aufgebaut hatte, hatte nach der Zertifizierung keine Rolle mehr. Eine interne UMB-Funktion war nominell benannt, aber nicht mit der für das System nötigen Zeit und Entscheidungsbefugnis ausgestattet worden.</w:t>
      </w:r>
    </w:p>
    <w:p>
      <w:pPr>
        <w:shd w:fill="EAFAF1" w:color="auto" w:val="clear"/>
        <w:spacing w:after="80" w:before="80" w:line="264" w:lineRule="auto"/>
        <w:ind w:left="180" w:right="180"/>
        <w:jc w:val="both"/>
      </w:pPr>
      <w:r>
        <w:rPr>
          <w:rFonts w:ascii="Georgia" w:cs="Georgia" w:eastAsia="Georgia" w:hAnsi="Georgia"/>
          <w:i/>
          <w:iCs/>
          <w:color w:val="1E8449"/>
          <w:sz w:val="17"/>
          <w:szCs w:val="17"/>
        </w:rPr>
        <w:t xml:space="preserve">✅ Reales System: In einem echten System hat jeder Betriebsmonat Spuren im System hinterlassen: Energiedaten eingetragen, mindestens eine Beobachtung identifiziert, mindestens ein Verfahren im praktischen Gebrauch leicht angepasst. Das System atmet mit dem Betrieb.</w:t>
      </w:r>
    </w:p>
    <w:p>
      <w:pPr>
        <w:spacing w:after="40" w:before="80"/>
        <w:jc w:val="left"/>
      </w:pPr>
      <w:r>
        <w:rPr>
          <w:rFonts w:ascii="Georgia" w:cs="Georgia" w:eastAsia="Georgia" w:hAnsi="Georgia"/>
          <w:i/>
          <w:iCs/>
          <w:color w:val="555555"/>
          <w:sz w:val="17"/>
          <w:szCs w:val="17"/>
        </w:rPr>
        <w:t xml:space="preserve">Aktive Warnsignale in diesem Fall:</w:t>
      </w:r>
    </w:p>
    <w:p>
      <w:pPr>
        <w:spacing w:after="80" w:before="0"/>
      </w:pPr>
      <w:r>
        <w:rPr>
          <w:rFonts w:ascii="Georgia" w:cs="Georgia" w:eastAsia="Georgia" w:hAnsi="Georgia"/>
          <w:b/>
          <w:bCs/>
          <w:color w:val="1F618D"/>
          <w:sz w:val="17"/>
          <w:szCs w:val="17"/>
        </w:rPr>
        <w:t xml:space="preserve">W1 — Null-NC-Register   </w:t>
      </w:r>
      <w:r>
        <w:rPr>
          <w:rFonts w:ascii="Georgia" w:cs="Georgia" w:eastAsia="Georgia" w:hAnsi="Georgia"/>
          <w:b/>
          <w:bCs/>
          <w:color w:val="784212"/>
          <w:sz w:val="17"/>
          <w:szCs w:val="17"/>
        </w:rPr>
        <w:t xml:space="preserve">W3 — Monitoring ohne aktualisierte Daten   </w:t>
      </w:r>
      <w:r>
        <w:rPr>
          <w:rFonts w:ascii="Georgia" w:cs="Georgia" w:eastAsia="Georgia" w:hAnsi="Georgia"/>
          <w:b/>
          <w:bCs/>
          <w:color w:val="1F618D"/>
          <w:sz w:val="17"/>
          <w:szCs w:val="17"/>
        </w:rPr>
        <w:t xml:space="preserve">W1 — Verfahren ohne Revision nach Inbetriebnahme   </w:t>
      </w:r>
    </w:p>
    <w:p>
      <w:pPr>
        <w:spacing w:after="0" w:before="300"/>
      </w:pPr>
      <w:r>
        <w:t xml:space="preserve"/>
      </w:r>
    </w:p>
    <w:p>
      <w:pPr>
        <w:shd w:fill="FEF9E7" w:color="auto" w:val="clear"/>
        <w:spacing w:after="40" w:before="0"/>
        <w:ind w:left="120"/>
        <w:jc w:val="left"/>
      </w:pPr>
      <w:r>
        <w:rPr>
          <w:rFonts w:ascii="Georgia" w:cs="Georgia" w:eastAsia="Georgia" w:hAnsi="Georgia"/>
          <w:b/>
          <w:bCs/>
          <w:color w:val="784212"/>
          <w:sz w:val="24"/>
          <w:szCs w:val="24"/>
        </w:rPr>
        <w:t xml:space="preserve">Fall F6 — </w:t>
      </w:r>
      <w:r>
        <w:rPr>
          <w:rFonts w:ascii="Georgia" w:cs="Georgia" w:eastAsia="Georgia" w:hAnsi="Georgia"/>
          <w:b/>
          <w:bCs/>
          <w:color w:val="1A1A2E"/>
          <w:sz w:val="22"/>
          <w:szCs w:val="22"/>
        </w:rPr>
        <w:t xml:space="preserve">Der unsichtbare Spa</w:t>
      </w:r>
    </w:p>
    <w:p>
      <w:pPr>
        <w:shd w:fill="FEF9E7" w:color="auto" w:val="clear"/>
        <w:spacing w:after="40" w:before="0"/>
        <w:ind w:left="120"/>
        <w:jc w:val="left"/>
      </w:pPr>
      <w:r>
        <w:rPr>
          <w:rFonts w:ascii="Georgia" w:cs="Georgia" w:eastAsia="Georgia" w:hAnsi="Georgia"/>
          <w:sz w:val="17"/>
          <w:szCs w:val="17"/>
        </w:rPr>
        <w:t xml:space="preserve">🏨 </w:t>
      </w:r>
      <w:r>
        <w:rPr>
          <w:rFonts w:ascii="Georgia" w:cs="Georgia" w:eastAsia="Georgia" w:hAnsi="Georgia"/>
          <w:i/>
          <w:iCs/>
          <w:color w:val="555555"/>
          <w:sz w:val="17"/>
          <w:szCs w:val="17"/>
        </w:rPr>
        <w:t xml:space="preserve">Vier-Sterne-Wellnesshotel | 95 Zimmer | Schwarzwald | 5 Jahre zertifiziert</w:t>
      </w:r>
      <w:r>
        <w:rPr>
          <w:rFonts w:ascii="Georgia" w:cs="Georgia" w:eastAsia="Georgia" w:hAnsi="Georgia"/>
          <w:color w:val="555555"/>
          <w:sz w:val="17"/>
          <w:szCs w:val="17"/>
        </w:rPr>
        <w:t xml:space="preserve">   •   Primärdiagnose: </w:t>
      </w:r>
      <w:r>
        <w:rPr>
          <w:rFonts w:ascii="Georgia" w:cs="Georgia" w:eastAsia="Georgia" w:hAnsi="Georgia"/>
          <w:b/>
          <w:bCs/>
          <w:color w:val="784212"/>
          <w:sz w:val="17"/>
          <w:szCs w:val="17"/>
        </w:rPr>
        <w:t xml:space="preserve">Systemkohärenz</w:t>
      </w:r>
    </w:p>
    <w:p>
      <w:pPr>
        <w:spacing w:after="0" w:before="60"/>
      </w:pPr>
      <w:r>
        <w:t xml:space="preserve"/>
      </w:r>
    </w:p>
    <w:p>
      <w:pPr>
        <w:spacing w:after="60" w:before="0"/>
        <w:jc w:val="left"/>
      </w:pPr>
      <w:r>
        <w:rPr>
          <w:rFonts w:ascii="Georgia" w:cs="Georgia" w:eastAsia="Georgia" w:hAnsi="Georgia"/>
          <w:b/>
          <w:bCs/>
          <w:i/>
          <w:iCs/>
          <w:color w:val="1A1A2E"/>
          <w:sz w:val="20"/>
          <w:szCs w:val="20"/>
        </w:rPr>
        <w:t xml:space="preserve">Kontext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Das Hotel hatte eine ausgedehnte Spa-Anlage (Schwimmbad, Saunen, Whirlpools, Beautybereiche) als eines der Hauptumsatzsegmente. Der Anwendungsbereich des ISO-14001-Systems schloss 'alle Hoteldienstleistungen' ein.</w:t>
      </w:r>
    </w:p>
    <w:p>
      <w:pPr>
        <w:spacing w:after="60" w:before="120"/>
        <w:jc w:val="left"/>
      </w:pPr>
      <w:r>
        <w:rPr>
          <w:rFonts w:ascii="Georgia" w:cs="Georgia" w:eastAsia="Georgia" w:hAnsi="Georgia"/>
          <w:b/>
          <w:bCs/>
          <w:i/>
          <w:iCs/>
          <w:color w:val="784212"/>
          <w:sz w:val="20"/>
          <w:szCs w:val="20"/>
        </w:rPr>
        <w:t xml:space="preserve">Auditentdeckung — was der Auditor fand</w:t>
      </w:r>
    </w:p>
    <w:p>
      <w:pPr>
        <w:spacing w:after="80" w:before="50" w:line="276" w:lineRule="auto"/>
        <w:ind w:left="340" w:hanging="20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Bei der Systembegehung bat der Auditor um die Aspektliste für den Spa-Bereich. Der UMB holte das Aspekte-Register heraus — Spa war als Bereich aufgeführt, mit korrekten Aspekten: Wasserverbrauch, Chemikalieneinsatz, Energieverbrauch, Abwasser.</w:t>
      </w:r>
    </w:p>
    <w:p>
      <w:pPr>
        <w:spacing w:after="80" w:before="50" w:line="276" w:lineRule="auto"/>
        <w:ind w:left="340" w:hanging="20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Frage an den Spa-Leiter: 'Wie viel Chlor verbraucht das Schwimmbad pro Monat?' Antwort: 'Das weiß der Techniker.' Frage an den Techniker: 'Haben Sie ein Chemikalienprotokoll für das Schwimmbad?' Antwort: 'Das macht das externe Unternehmen, das das Wasser pflegt.'</w:t>
      </w:r>
    </w:p>
    <w:p>
      <w:pPr>
        <w:spacing w:after="80" w:before="50" w:line="276" w:lineRule="auto"/>
        <w:ind w:left="340" w:hanging="20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Frage an den UMB: 'Welches externe Unternehmen pflegt das Schwimmbadwasser?' Antwort nach langem Suchen: ein Dienstleister aus Offenburg. 'Haben Sie deren Sicherheitsdatenblätter für die verwendeten Chemikalien?' Nach 20 Minuten Suche: Nein.</w:t>
      </w:r>
    </w:p>
    <w:p>
      <w:pPr>
        <w:spacing w:after="80" w:before="50" w:line="276" w:lineRule="auto"/>
        <w:ind w:left="340" w:hanging="200"/>
        <w:jc w:val="both"/>
      </w:pPr>
      <w:r>
        <w:rPr>
          <w:rFonts w:ascii="Georgia" w:cs="Georgia" w:eastAsia="Georgia" w:hAnsi="Georgia"/>
          <w:b/>
          <w:bCs/>
          <w:color w:val="784212"/>
          <w:sz w:val="20"/>
          <w:szCs w:val="20"/>
        </w:rPr>
        <w:t xml:space="preserve">4.  </w:t>
      </w:r>
      <w:r>
        <w:rPr>
          <w:rFonts w:ascii="Georgia" w:cs="Georgia" w:eastAsia="Georgia" w:hAnsi="Georgia"/>
          <w:color w:val="1A1A2E"/>
          <w:sz w:val="20"/>
          <w:szCs w:val="20"/>
        </w:rPr>
        <w:t xml:space="preserve">Das Abwasserentsorgungsprotokoll für die Poolchemikalien: in der Aspektliste beschrieben als 'gemäß AbwV Anhang 37'. Aber kein Entsorgungsnachweis vorhanden — weder für das laufende Jahr noch für die Vorjahre.</w:t>
      </w:r>
    </w:p>
    <w:p>
      <w:pPr>
        <w:spacing w:after="80" w:before="50" w:line="276" w:lineRule="auto"/>
        <w:ind w:left="340" w:hanging="200"/>
        <w:jc w:val="both"/>
      </w:pPr>
      <w:r>
        <w:rPr>
          <w:rFonts w:ascii="Georgia" w:cs="Georgia" w:eastAsia="Georgia" w:hAnsi="Georgia"/>
          <w:b/>
          <w:bCs/>
          <w:color w:val="784212"/>
          <w:sz w:val="20"/>
          <w:szCs w:val="20"/>
        </w:rPr>
        <w:t xml:space="preserve">5.  </w:t>
      </w:r>
      <w:r>
        <w:rPr>
          <w:rFonts w:ascii="Georgia" w:cs="Georgia" w:eastAsia="Georgia" w:hAnsi="Georgia"/>
          <w:color w:val="1A1A2E"/>
          <w:sz w:val="20"/>
          <w:szCs w:val="20"/>
        </w:rPr>
        <w:t xml:space="preserve">Der Wasserverbrauch des Schwimmbades in der Kennzahlendokumentation: 'nicht separat erfasst, im Gesamtverbrauch enthalten'. Ein Schwimmbad, das typischerweise 20–35% des Gesamtwasserverbrauchs eines Wellness-Hotels ausmacht, ohne separates Monitoring.</w:t>
      </w:r>
    </w:p>
    <w:p>
      <w:pPr>
        <w:spacing w:after="0" w:before="60"/>
      </w:pPr>
      <w:r>
        <w:t xml:space="preserve"/>
      </w:r>
    </w:p>
    <w:p>
      <w:pPr>
        <w:shd w:fill="FFF9C4" w:color="auto" w:val="clear"/>
        <w:spacing w:after="80" w:before="80" w:line="264" w:lineRule="auto"/>
        <w:ind w:left="180" w:right="180"/>
        <w:jc w:val="both"/>
      </w:pPr>
      <w:r>
        <w:rPr>
          <w:rFonts w:ascii="Georgia" w:cs="Georgia" w:eastAsia="Georgia" w:hAnsi="Georgia"/>
          <w:i/>
          <w:iCs/>
          <w:color w:val="7D6608"/>
          <w:sz w:val="17"/>
          <w:szCs w:val="17"/>
        </w:rPr>
        <w:t xml:space="preserve">🔍 Befund: Der Spa-Bereich war im System aufgeführt, aber nicht im System verankert. Der Chemikalieneinsatz, die Entsorgung, das Wassermonitoring — alles an einen externen Dienstleister ausgelagert, ohne systemische Integration seiner Aktivitäten in das ISO-14001-System.</w:t>
      </w:r>
    </w:p>
    <w:p>
      <w:pPr>
        <w:shd w:fill="FDECEA" w:color="auto" w:val="clear"/>
        <w:spacing w:after="80" w:before="80" w:line="264" w:lineRule="auto"/>
        <w:ind w:left="180" w:right="180"/>
        <w:jc w:val="both"/>
      </w:pPr>
      <w:r>
        <w:rPr>
          <w:rFonts w:ascii="Georgia" w:cs="Georgia" w:eastAsia="Georgia" w:hAnsi="Georgia"/>
          <w:i/>
          <w:iCs/>
          <w:color w:val="6E2F2F"/>
          <w:sz w:val="17"/>
          <w:szCs w:val="17"/>
        </w:rPr>
        <w:t xml:space="preserve">🔗 Ursache: Der Spa-Leiter war als Bereichsverantwortlicher nicht in das Systemaufbau eingebunden worden. Das System kannte den Spa aus der Aspektliste — aber der Spa kannte das System nicht.</w:t>
      </w:r>
    </w:p>
    <w:p>
      <w:pPr>
        <w:shd w:fill="EAFAF1" w:color="auto" w:val="clear"/>
        <w:spacing w:after="80" w:before="80" w:line="264" w:lineRule="auto"/>
        <w:ind w:left="180" w:right="180"/>
        <w:jc w:val="both"/>
      </w:pPr>
      <w:r>
        <w:rPr>
          <w:rFonts w:ascii="Georgia" w:cs="Georgia" w:eastAsia="Georgia" w:hAnsi="Georgia"/>
          <w:i/>
          <w:iCs/>
          <w:color w:val="1E8449"/>
          <w:sz w:val="17"/>
          <w:szCs w:val="17"/>
        </w:rPr>
        <w:t xml:space="preserve">✅ Reales System: In einem echten System ist der Spa-Leiter Umweltreferent seines Bereichs. Er kennt die monatlichen Verbrauchswerte, die Entsorgungswege der Chemikalien, die Sicherheitsdatenblätter. Das System hat Wurzeln im Spa — nicht nur eine Aufführung in der Aspektliste.</w:t>
      </w:r>
    </w:p>
    <w:p>
      <w:pPr>
        <w:spacing w:after="40" w:before="80"/>
        <w:jc w:val="left"/>
      </w:pPr>
      <w:r>
        <w:rPr>
          <w:rFonts w:ascii="Georgia" w:cs="Georgia" w:eastAsia="Georgia" w:hAnsi="Georgia"/>
          <w:i/>
          <w:iCs/>
          <w:color w:val="555555"/>
          <w:sz w:val="17"/>
          <w:szCs w:val="17"/>
        </w:rPr>
        <w:t xml:space="preserve">Aktive Warnsignale in diesem Fall:</w:t>
      </w:r>
    </w:p>
    <w:p>
      <w:pPr>
        <w:spacing w:after="80" w:before="0"/>
      </w:pPr>
      <w:r>
        <w:rPr>
          <w:rFonts w:ascii="Georgia" w:cs="Georgia" w:eastAsia="Georgia" w:hAnsi="Georgia"/>
          <w:b/>
          <w:bCs/>
          <w:color w:val="4A235A"/>
          <w:sz w:val="17"/>
          <w:szCs w:val="17"/>
        </w:rPr>
        <w:t xml:space="preserve">W5 — Ausgelagerter Bereich ohne Systemintegration   </w:t>
      </w:r>
      <w:r>
        <w:rPr>
          <w:rFonts w:ascii="Georgia" w:cs="Georgia" w:eastAsia="Georgia" w:hAnsi="Georgia"/>
          <w:b/>
          <w:bCs/>
          <w:color w:val="117A65"/>
          <w:sz w:val="17"/>
          <w:szCs w:val="17"/>
        </w:rPr>
        <w:t xml:space="preserve">W2 — Bereichsleitung ohne Systemkenntnis   </w:t>
      </w:r>
    </w:p>
    <w:p>
      <w:pPr>
        <w:spacing w:after="0" w:before="300"/>
      </w:pPr>
      <w:r>
        <w:t xml:space="preserve"/>
      </w:r>
    </w:p>
    <w:p>
      <w:pPr>
        <w:shd w:fill="FEF9E7" w:color="auto" w:val="clear"/>
        <w:spacing w:after="40" w:before="0"/>
        <w:ind w:left="120"/>
        <w:jc w:val="left"/>
      </w:pPr>
      <w:r>
        <w:rPr>
          <w:rFonts w:ascii="Georgia" w:cs="Georgia" w:eastAsia="Georgia" w:hAnsi="Georgia"/>
          <w:b/>
          <w:bCs/>
          <w:color w:val="784212"/>
          <w:sz w:val="24"/>
          <w:szCs w:val="24"/>
        </w:rPr>
        <w:t xml:space="preserve">Fall F7 — </w:t>
      </w:r>
      <w:r>
        <w:rPr>
          <w:rFonts w:ascii="Georgia" w:cs="Georgia" w:eastAsia="Georgia" w:hAnsi="Georgia"/>
          <w:b/>
          <w:bCs/>
          <w:color w:val="1A1A2E"/>
          <w:sz w:val="22"/>
          <w:szCs w:val="22"/>
        </w:rPr>
        <w:t xml:space="preserve">Die Klimaresilienz auf dem Papier</w:t>
      </w:r>
    </w:p>
    <w:p>
      <w:pPr>
        <w:shd w:fill="FEF9E7" w:color="auto" w:val="clear"/>
        <w:spacing w:after="40" w:before="0"/>
        <w:ind w:left="120"/>
        <w:jc w:val="left"/>
      </w:pPr>
      <w:r>
        <w:rPr>
          <w:rFonts w:ascii="Georgia" w:cs="Georgia" w:eastAsia="Georgia" w:hAnsi="Georgia"/>
          <w:sz w:val="17"/>
          <w:szCs w:val="17"/>
        </w:rPr>
        <w:t xml:space="preserve">🏨 </w:t>
      </w:r>
      <w:r>
        <w:rPr>
          <w:rFonts w:ascii="Georgia" w:cs="Georgia" w:eastAsia="Georgia" w:hAnsi="Georgia"/>
          <w:i/>
          <w:iCs/>
          <w:color w:val="555555"/>
          <w:sz w:val="17"/>
          <w:szCs w:val="17"/>
        </w:rPr>
        <w:t xml:space="preserve">Drei-Sterne-Superior-Hotel | 110 Zimmer | Salzburg Zentrum | 3 Jahre zertifiziert</w:t>
      </w:r>
      <w:r>
        <w:rPr>
          <w:rFonts w:ascii="Georgia" w:cs="Georgia" w:eastAsia="Georgia" w:hAnsi="Georgia"/>
          <w:color w:val="555555"/>
          <w:sz w:val="17"/>
          <w:szCs w:val="17"/>
        </w:rPr>
        <w:t xml:space="preserve">   •   Primärdiagnose: </w:t>
      </w:r>
      <w:r>
        <w:rPr>
          <w:rFonts w:ascii="Georgia" w:cs="Georgia" w:eastAsia="Georgia" w:hAnsi="Georgia"/>
          <w:b/>
          <w:bCs/>
          <w:color w:val="784212"/>
          <w:sz w:val="17"/>
          <w:szCs w:val="17"/>
        </w:rPr>
        <w:t xml:space="preserve">Dokumentationsmuster + Systemkohärenz</w:t>
      </w:r>
    </w:p>
    <w:p>
      <w:pPr>
        <w:spacing w:after="0" w:before="60"/>
      </w:pPr>
      <w:r>
        <w:t xml:space="preserve"/>
      </w:r>
    </w:p>
    <w:p>
      <w:pPr>
        <w:spacing w:after="60" w:before="0"/>
        <w:jc w:val="left"/>
      </w:pPr>
      <w:r>
        <w:rPr>
          <w:rFonts w:ascii="Georgia" w:cs="Georgia" w:eastAsia="Georgia" w:hAnsi="Georgia"/>
          <w:b/>
          <w:bCs/>
          <w:i/>
          <w:iCs/>
          <w:color w:val="1A1A2E"/>
          <w:sz w:val="20"/>
          <w:szCs w:val="20"/>
        </w:rPr>
        <w:t xml:space="preserve">Kontext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Das Hotel hatte als Teil der Erstzertifizierung einen vollständigen Klimaresilienz-Plan erstellt — ISO 14090 und ISO 14091 korrekt referenziert, Risikomatrix vorhanden, Notfallpläne für Hitze, Wasser und Energie.</w:t>
      </w:r>
    </w:p>
    <w:p>
      <w:pPr>
        <w:spacing w:after="60" w:before="120"/>
        <w:jc w:val="left"/>
      </w:pPr>
      <w:r>
        <w:rPr>
          <w:rFonts w:ascii="Georgia" w:cs="Georgia" w:eastAsia="Georgia" w:hAnsi="Georgia"/>
          <w:b/>
          <w:bCs/>
          <w:i/>
          <w:iCs/>
          <w:color w:val="784212"/>
          <w:sz w:val="20"/>
          <w:szCs w:val="20"/>
        </w:rPr>
        <w:t xml:space="preserve">Auditentdeckung — was der Auditor fand</w:t>
      </w:r>
    </w:p>
    <w:p>
      <w:pPr>
        <w:spacing w:after="80" w:before="50" w:line="276" w:lineRule="auto"/>
        <w:ind w:left="340" w:hanging="20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Der Auditor fragte: 'Wann wurde der Klimaresilienz-Plan zuletzt operativ geprobt?' Antwort: 'Wir haben die Übung für Sommer geplant.' Es war Oktober.</w:t>
      </w:r>
    </w:p>
    <w:p>
      <w:pPr>
        <w:spacing w:after="80" w:before="50" w:line="276" w:lineRule="auto"/>
        <w:ind w:left="340" w:hanging="20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Der Notfallplan für Hitzeereignisse beschrieb als erste Maßnahme: 'Aktivierung der portablen Klimageräte (Standort: Lager Untergeschoss, Raum U3).' Begehung Raum U3: leer. Auf Nachfrage: 'Die portablen Geräte haben wir noch nicht angeschafft.'</w:t>
      </w:r>
    </w:p>
    <w:p>
      <w:pPr>
        <w:spacing w:after="80" w:before="50" w:line="276" w:lineRule="auto"/>
        <w:ind w:left="340" w:hanging="20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Die Kontaktliste im Notfallplan nannte einen Umweltberater aus Wien als ersten externen Ansprechpartner. Auf Nachfrage: 'Der arbeitet nicht mehr mit uns zusammen.'</w:t>
      </w:r>
    </w:p>
    <w:p>
      <w:pPr>
        <w:spacing w:after="80" w:before="50" w:line="276" w:lineRule="auto"/>
        <w:ind w:left="340" w:hanging="200"/>
        <w:jc w:val="both"/>
      </w:pPr>
      <w:r>
        <w:rPr>
          <w:rFonts w:ascii="Georgia" w:cs="Georgia" w:eastAsia="Georgia" w:hAnsi="Georgia"/>
          <w:b/>
          <w:bCs/>
          <w:color w:val="784212"/>
          <w:sz w:val="20"/>
          <w:szCs w:val="20"/>
        </w:rPr>
        <w:t xml:space="preserve">4.  </w:t>
      </w:r>
      <w:r>
        <w:rPr>
          <w:rFonts w:ascii="Georgia" w:cs="Georgia" w:eastAsia="Georgia" w:hAnsi="Georgia"/>
          <w:color w:val="1A1A2E"/>
          <w:sz w:val="20"/>
          <w:szCs w:val="20"/>
        </w:rPr>
        <w:t xml:space="preserve">Der Klimarisikoabschnitt zitierte GeoSphere-Austria-Projektionen für 'die Alpenregion' — ohne auf die spezifischen Szenarien für den Salzburger Raum einzugehen. Die Risikomatrix hatte 'Hitze' mit einer hohen Wahrscheinlichkeit bewertet — korrekt für Salzburg nach GeoSphere-Daten. Aber die zugehörigen Maßnahmen waren allgemeiner Natur, ohne Salzburg-spezifischen Kontext.</w:t>
      </w:r>
    </w:p>
    <w:p>
      <w:pPr>
        <w:spacing w:after="80" w:before="50" w:line="276" w:lineRule="auto"/>
        <w:ind w:left="340" w:hanging="200"/>
        <w:jc w:val="both"/>
      </w:pPr>
      <w:r>
        <w:rPr>
          <w:rFonts w:ascii="Georgia" w:cs="Georgia" w:eastAsia="Georgia" w:hAnsi="Georgia"/>
          <w:b/>
          <w:bCs/>
          <w:color w:val="784212"/>
          <w:sz w:val="20"/>
          <w:szCs w:val="20"/>
        </w:rPr>
        <w:t xml:space="preserve">5.  </w:t>
      </w:r>
      <w:r>
        <w:rPr>
          <w:rFonts w:ascii="Georgia" w:cs="Georgia" w:eastAsia="Georgia" w:hAnsi="Georgia"/>
          <w:color w:val="1A1A2E"/>
          <w:sz w:val="20"/>
          <w:szCs w:val="20"/>
        </w:rPr>
        <w:t xml:space="preserve">Frage an den Haustechnikleiter: 'Was ist der Auslöse-Trigger für den Hitzepflichtplan?' Antwort: 'Das steht im Plan.' Kein operatives Wissen über den eigenen Trigger.</w:t>
      </w:r>
    </w:p>
    <w:p>
      <w:pPr>
        <w:spacing w:after="0" w:before="60"/>
      </w:pPr>
      <w:r>
        <w:t xml:space="preserve"/>
      </w:r>
    </w:p>
    <w:p>
      <w:pPr>
        <w:shd w:fill="FFF9C4" w:color="auto" w:val="clear"/>
        <w:spacing w:after="80" w:before="80" w:line="264" w:lineRule="auto"/>
        <w:ind w:left="180" w:right="180"/>
        <w:jc w:val="both"/>
      </w:pPr>
      <w:r>
        <w:rPr>
          <w:rFonts w:ascii="Georgia" w:cs="Georgia" w:eastAsia="Georgia" w:hAnsi="Georgia"/>
          <w:i/>
          <w:iCs/>
          <w:color w:val="7D6608"/>
          <w:sz w:val="17"/>
          <w:szCs w:val="17"/>
        </w:rPr>
        <w:t xml:space="preserve">🔍 Befund: Der Klimaresilienz-Plan war ein gut recherchiertes Dokument — aber kein operatives Instrument. Die Infrastruktur fehlte, die Übungen hatten nicht stattgefunden, die Kontaktlisten waren veraltet, das Personal kannte die Trigger nicht.</w:t>
      </w:r>
    </w:p>
    <w:p>
      <w:pPr>
        <w:shd w:fill="FDECEA" w:color="auto" w:val="clear"/>
        <w:spacing w:after="80" w:before="80" w:line="264" w:lineRule="auto"/>
        <w:ind w:left="180" w:right="180"/>
        <w:jc w:val="both"/>
      </w:pPr>
      <w:r>
        <w:rPr>
          <w:rFonts w:ascii="Georgia" w:cs="Georgia" w:eastAsia="Georgia" w:hAnsi="Georgia"/>
          <w:i/>
          <w:iCs/>
          <w:color w:val="6E2F2F"/>
          <w:sz w:val="17"/>
          <w:szCs w:val="17"/>
        </w:rPr>
        <w:t xml:space="preserve">🔗 Ursache: Der Plan war im Zertifizierungsprozess von einem externen Berater erstellt worden. Er war korrekt — aber nicht für die spezifische operative Realität des Hotels kalibriert. Er hatte nie Kontakt zur Linie gehabt.</w:t>
      </w:r>
    </w:p>
    <w:p>
      <w:pPr>
        <w:shd w:fill="EAFAF1" w:color="auto" w:val="clear"/>
        <w:spacing w:after="80" w:before="80" w:line="264" w:lineRule="auto"/>
        <w:ind w:left="180" w:right="180"/>
        <w:jc w:val="both"/>
      </w:pPr>
      <w:r>
        <w:rPr>
          <w:rFonts w:ascii="Georgia" w:cs="Georgia" w:eastAsia="Georgia" w:hAnsi="Georgia"/>
          <w:i/>
          <w:iCs/>
          <w:color w:val="1E8449"/>
          <w:sz w:val="17"/>
          <w:szCs w:val="17"/>
        </w:rPr>
        <w:t xml:space="preserve">✅ Reales System: Ein realer Klimaresilienz-Plan ist ein lebendiges Dokument: Trigger sind dem Personal bekannt, Infrastruktur ist vorhanden, Kontaktlisten sind aktuell, Übungen sind terminiert und protokolliert. Er ist nicht perfekt in der Formulierung — aber er funktioniert, wenn er gebraucht wird.</w:t>
      </w:r>
    </w:p>
    <w:p>
      <w:pPr>
        <w:spacing w:after="40" w:before="80"/>
        <w:jc w:val="left"/>
      </w:pPr>
      <w:r>
        <w:rPr>
          <w:rFonts w:ascii="Georgia" w:cs="Georgia" w:eastAsia="Georgia" w:hAnsi="Georgia"/>
          <w:i/>
          <w:iCs/>
          <w:color w:val="555555"/>
          <w:sz w:val="17"/>
          <w:szCs w:val="17"/>
        </w:rPr>
        <w:t xml:space="preserve">Aktive Warnsignale in diesem Fall:</w:t>
      </w:r>
    </w:p>
    <w:p>
      <w:pPr>
        <w:spacing w:after="80" w:before="0"/>
      </w:pPr>
      <w:r>
        <w:rPr>
          <w:rFonts w:ascii="Georgia" w:cs="Georgia" w:eastAsia="Georgia" w:hAnsi="Georgia"/>
          <w:b/>
          <w:bCs/>
          <w:color w:val="4A235A"/>
          <w:sz w:val="17"/>
          <w:szCs w:val="17"/>
        </w:rPr>
        <w:t xml:space="preserve">W5 — Infrastruktur beschrieben, aber nicht vorhanden   </w:t>
      </w:r>
      <w:r>
        <w:rPr>
          <w:rFonts w:ascii="Georgia" w:cs="Georgia" w:eastAsia="Georgia" w:hAnsi="Georgia"/>
          <w:b/>
          <w:bCs/>
          <w:color w:val="117A65"/>
          <w:sz w:val="17"/>
          <w:szCs w:val="17"/>
        </w:rPr>
        <w:t xml:space="preserve">W2 — Plan ohne operative Verankerung   </w:t>
      </w:r>
    </w:p>
    <w:p>
      <w:pPr>
        <w:spacing w:after="0" w:before="300"/>
      </w:pPr>
      <w:r>
        <w:t xml:space="preserve"/>
      </w:r>
    </w:p>
    <w:p>
      <w:pPr>
        <w:shd w:fill="FEF9E7" w:color="auto" w:val="clear"/>
        <w:spacing w:after="40" w:before="0"/>
        <w:ind w:left="120"/>
        <w:jc w:val="left"/>
      </w:pPr>
      <w:r>
        <w:rPr>
          <w:rFonts w:ascii="Georgia" w:cs="Georgia" w:eastAsia="Georgia" w:hAnsi="Georgia"/>
          <w:b/>
          <w:bCs/>
          <w:color w:val="784212"/>
          <w:sz w:val="24"/>
          <w:szCs w:val="24"/>
        </w:rPr>
        <w:t xml:space="preserve">Fall F8 — </w:t>
      </w:r>
      <w:r>
        <w:rPr>
          <w:rFonts w:ascii="Georgia" w:cs="Georgia" w:eastAsia="Georgia" w:hAnsi="Georgia"/>
          <w:b/>
          <w:bCs/>
          <w:color w:val="1A1A2E"/>
          <w:sz w:val="22"/>
          <w:szCs w:val="22"/>
        </w:rPr>
        <w:t xml:space="preserve">Das System nach dem Generationswechsel</w:t>
      </w:r>
    </w:p>
    <w:p>
      <w:pPr>
        <w:shd w:fill="FEF9E7" w:color="auto" w:val="clear"/>
        <w:spacing w:after="40" w:before="0"/>
        <w:ind w:left="120"/>
        <w:jc w:val="left"/>
      </w:pPr>
      <w:r>
        <w:rPr>
          <w:rFonts w:ascii="Georgia" w:cs="Georgia" w:eastAsia="Georgia" w:hAnsi="Georgia"/>
          <w:sz w:val="17"/>
          <w:szCs w:val="17"/>
        </w:rPr>
        <w:t xml:space="preserve">🏨 </w:t>
      </w:r>
      <w:r>
        <w:rPr>
          <w:rFonts w:ascii="Georgia" w:cs="Georgia" w:eastAsia="Georgia" w:hAnsi="Georgia"/>
          <w:i/>
          <w:iCs/>
          <w:color w:val="555555"/>
          <w:sz w:val="17"/>
          <w:szCs w:val="17"/>
        </w:rPr>
        <w:t xml:space="preserve">Vier-Sterne-Kongresshotel | 200 Zimmer | Frankfurt Westend | 7 Jahre zertifiziert</w:t>
      </w:r>
      <w:r>
        <w:rPr>
          <w:rFonts w:ascii="Georgia" w:cs="Georgia" w:eastAsia="Georgia" w:hAnsi="Georgia"/>
          <w:color w:val="555555"/>
          <w:sz w:val="17"/>
          <w:szCs w:val="17"/>
        </w:rPr>
        <w:t xml:space="preserve">   •   Primärdiagnose: </w:t>
      </w:r>
      <w:r>
        <w:rPr>
          <w:rFonts w:ascii="Georgia" w:cs="Georgia" w:eastAsia="Georgia" w:hAnsi="Georgia"/>
          <w:b/>
          <w:bCs/>
          <w:color w:val="784212"/>
          <w:sz w:val="17"/>
          <w:szCs w:val="17"/>
        </w:rPr>
        <w:t xml:space="preserve">Alle fünf Warnsignalkategorien</w:t>
      </w:r>
    </w:p>
    <w:p>
      <w:pPr>
        <w:spacing w:after="0" w:before="60"/>
      </w:pPr>
      <w:r>
        <w:t xml:space="preserve"/>
      </w:r>
    </w:p>
    <w:p>
      <w:pPr>
        <w:spacing w:after="60" w:before="0"/>
        <w:jc w:val="left"/>
      </w:pPr>
      <w:r>
        <w:rPr>
          <w:rFonts w:ascii="Georgia" w:cs="Georgia" w:eastAsia="Georgia" w:hAnsi="Georgia"/>
          <w:b/>
          <w:bCs/>
          <w:i/>
          <w:iCs/>
          <w:color w:val="1A1A2E"/>
          <w:sz w:val="20"/>
          <w:szCs w:val="20"/>
        </w:rPr>
        <w:t xml:space="preserve">Kontext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Das Hotel hatte ein stark gewachsenes Umweltmanagementsystem unter einem UMB aufgebaut, der sieben Jahre das System personifiziert hatte. Der UMB hatte das Hotel sechs Monate vor dem Audit verlassen. Seine Nachfolgerin war seit vier Monaten im Amt.</w:t>
      </w:r>
    </w:p>
    <w:p>
      <w:pPr>
        <w:spacing w:after="60" w:before="120"/>
        <w:jc w:val="left"/>
      </w:pPr>
      <w:r>
        <w:rPr>
          <w:rFonts w:ascii="Georgia" w:cs="Georgia" w:eastAsia="Georgia" w:hAnsi="Georgia"/>
          <w:b/>
          <w:bCs/>
          <w:i/>
          <w:iCs/>
          <w:color w:val="784212"/>
          <w:sz w:val="20"/>
          <w:szCs w:val="20"/>
        </w:rPr>
        <w:t xml:space="preserve">Auditentdeckung — was der Auditor fand</w:t>
      </w:r>
    </w:p>
    <w:p>
      <w:pPr>
        <w:spacing w:after="80" w:before="50" w:line="276" w:lineRule="auto"/>
        <w:ind w:left="340" w:hanging="200"/>
        <w:jc w:val="both"/>
      </w:pPr>
      <w:r>
        <w:rPr>
          <w:rFonts w:ascii="Georgia" w:cs="Georgia" w:eastAsia="Georgia" w:hAnsi="Georgia"/>
          <w:b/>
          <w:bCs/>
          <w:color w:val="784212"/>
          <w:sz w:val="20"/>
          <w:szCs w:val="20"/>
        </w:rPr>
        <w:t xml:space="preserve">1.  </w:t>
      </w:r>
      <w:r>
        <w:rPr>
          <w:rFonts w:ascii="Georgia" w:cs="Georgia" w:eastAsia="Georgia" w:hAnsi="Georgia"/>
          <w:color w:val="1A1A2E"/>
          <w:sz w:val="20"/>
          <w:szCs w:val="20"/>
        </w:rPr>
        <w:t xml:space="preserve">Die neue UMB war kompetent und ehrlich: 'Ich kenne das System noch nicht vollständig. Ich lerne es gerade.' Satz, der Vertrauen aufbaut — und der auch zeigt, dass das System als Person verkörpert war, nicht als Organisation.</w:t>
      </w:r>
    </w:p>
    <w:p>
      <w:pPr>
        <w:spacing w:after="80" w:before="50" w:line="276" w:lineRule="auto"/>
        <w:ind w:left="340" w:hanging="200"/>
        <w:jc w:val="both"/>
      </w:pPr>
      <w:r>
        <w:rPr>
          <w:rFonts w:ascii="Georgia" w:cs="Georgia" w:eastAsia="Georgia" w:hAnsi="Georgia"/>
          <w:b/>
          <w:bCs/>
          <w:color w:val="784212"/>
          <w:sz w:val="20"/>
          <w:szCs w:val="20"/>
        </w:rPr>
        <w:t xml:space="preserve">2.  </w:t>
      </w:r>
      <w:r>
        <w:rPr>
          <w:rFonts w:ascii="Georgia" w:cs="Georgia" w:eastAsia="Georgia" w:hAnsi="Georgia"/>
          <w:color w:val="1A1A2E"/>
          <w:sz w:val="20"/>
          <w:szCs w:val="20"/>
        </w:rPr>
        <w:t xml:space="preserve">Das Schulungsregister für das letzte Jahr: vollständig für alle 140 Mitarbeitenden. Darunter: 'Schulung Saisonpersonal Sommer — Dauer: 20 Minuten'. Das Saisonpersonal umfasste 45 Personen, in derselben Schulungssitzung. 20 Minuten für 45 Personen zu einem sechsseitigen Schulungsinhalt.</w:t>
      </w:r>
    </w:p>
    <w:p>
      <w:pPr>
        <w:spacing w:after="80" w:before="50" w:line="276" w:lineRule="auto"/>
        <w:ind w:left="340" w:hanging="200"/>
        <w:jc w:val="both"/>
      </w:pPr>
      <w:r>
        <w:rPr>
          <w:rFonts w:ascii="Georgia" w:cs="Georgia" w:eastAsia="Georgia" w:hAnsi="Georgia"/>
          <w:b/>
          <w:bCs/>
          <w:color w:val="784212"/>
          <w:sz w:val="20"/>
          <w:szCs w:val="20"/>
        </w:rPr>
        <w:t xml:space="preserve">3.  </w:t>
      </w:r>
      <w:r>
        <w:rPr>
          <w:rFonts w:ascii="Georgia" w:cs="Georgia" w:eastAsia="Georgia" w:hAnsi="Georgia"/>
          <w:color w:val="1A1A2E"/>
          <w:sz w:val="20"/>
          <w:szCs w:val="20"/>
        </w:rPr>
        <w:t xml:space="preserve">Das Aspekte-Register: zuletzt revidiert vor 14 Monaten — also unter dem Vorgänger. Die neue UMB: 'Ich wollte es erst vollständig verstehen, bevor ich es ändere.' Vernünftig — aber zeigt, dass das Register nicht organisch mit dem Betrieb gewachsen ist.</w:t>
      </w:r>
    </w:p>
    <w:p>
      <w:pPr>
        <w:spacing w:after="80" w:before="50" w:line="276" w:lineRule="auto"/>
        <w:ind w:left="340" w:hanging="200"/>
        <w:jc w:val="both"/>
      </w:pPr>
      <w:r>
        <w:rPr>
          <w:rFonts w:ascii="Georgia" w:cs="Georgia" w:eastAsia="Georgia" w:hAnsi="Georgia"/>
          <w:b/>
          <w:bCs/>
          <w:color w:val="784212"/>
          <w:sz w:val="20"/>
          <w:szCs w:val="20"/>
        </w:rPr>
        <w:t xml:space="preserve">4.  </w:t>
      </w:r>
      <w:r>
        <w:rPr>
          <w:rFonts w:ascii="Georgia" w:cs="Georgia" w:eastAsia="Georgia" w:hAnsi="Georgia"/>
          <w:color w:val="1A1A2E"/>
          <w:sz w:val="20"/>
          <w:szCs w:val="20"/>
        </w:rPr>
        <w:t xml:space="preserve">Interviewrunde mit drei Abteilungsleitern: Alle drei kannten die Nachhaltigkeitsbeauftragte. Alle drei konnten nicht einen konkreten Umweltaspekt ihres Bereichs benennen. 'Das macht die Nachhaltigkeitsbeauftragte' — sieben Jahre nach der Zertifizierung.</w:t>
      </w:r>
    </w:p>
    <w:p>
      <w:pPr>
        <w:spacing w:after="80" w:before="50" w:line="276" w:lineRule="auto"/>
        <w:ind w:left="340" w:hanging="200"/>
        <w:jc w:val="both"/>
      </w:pPr>
      <w:r>
        <w:rPr>
          <w:rFonts w:ascii="Georgia" w:cs="Georgia" w:eastAsia="Georgia" w:hAnsi="Georgia"/>
          <w:b/>
          <w:bCs/>
          <w:color w:val="784212"/>
          <w:sz w:val="20"/>
          <w:szCs w:val="20"/>
        </w:rPr>
        <w:t xml:space="preserve">5.  </w:t>
      </w:r>
      <w:r>
        <w:rPr>
          <w:rFonts w:ascii="Georgia" w:cs="Georgia" w:eastAsia="Georgia" w:hAnsi="Georgia"/>
          <w:color w:val="1A1A2E"/>
          <w:sz w:val="20"/>
          <w:szCs w:val="20"/>
        </w:rPr>
        <w:t xml:space="preserve">Das Engagement-Log für Lieferanten: 11 kritische Lieferanten, alle mit Fragebogen-Rücklauf. Aber: Die Fragebogen-Scores waren identisch mit denen des Vorjahres. Auf Nachfrage: 'Der Vorgänger hat sie immer mit denselben Zahlen übernommen, wenn keine neue Antwort kam.' Seit wann? 'Seit mindestens vier Jahren.'</w:t>
      </w:r>
    </w:p>
    <w:p>
      <w:pPr>
        <w:spacing w:after="0" w:before="60"/>
      </w:pPr>
      <w:r>
        <w:t xml:space="preserve"/>
      </w:r>
    </w:p>
    <w:p>
      <w:pPr>
        <w:shd w:fill="FFF9C4" w:color="auto" w:val="clear"/>
        <w:spacing w:after="80" w:before="80" w:line="264" w:lineRule="auto"/>
        <w:ind w:left="180" w:right="180"/>
        <w:jc w:val="both"/>
      </w:pPr>
      <w:r>
        <w:rPr>
          <w:rFonts w:ascii="Georgia" w:cs="Georgia" w:eastAsia="Georgia" w:hAnsi="Georgia"/>
          <w:i/>
          <w:iCs/>
          <w:color w:val="7D6608"/>
          <w:sz w:val="17"/>
          <w:szCs w:val="17"/>
        </w:rPr>
        <w:t xml:space="preserve">🔍 Befund: Das System hatte sieben Jahre unter einem UMB gelebt, der es aufgebaut und am Leben erhalten hatte — aber es nie in die Organisation transferiert hatte. Als er ging, stand ein vollständiges Dokumentenwerk da, ohne operative Trägerschaft. Das System kannte das Hotel — aber das Hotel kannte das System nicht.</w:t>
      </w:r>
    </w:p>
    <w:p>
      <w:pPr>
        <w:shd w:fill="FDECEA" w:color="auto" w:val="clear"/>
        <w:spacing w:after="80" w:before="80" w:line="264" w:lineRule="auto"/>
        <w:ind w:left="180" w:right="180"/>
        <w:jc w:val="both"/>
      </w:pPr>
      <w:r>
        <w:rPr>
          <w:rFonts w:ascii="Georgia" w:cs="Georgia" w:eastAsia="Georgia" w:hAnsi="Georgia"/>
          <w:i/>
          <w:iCs/>
          <w:color w:val="6E2F2F"/>
          <w:sz w:val="17"/>
          <w:szCs w:val="17"/>
        </w:rPr>
        <w:t xml:space="preserve">🔗 Ursache: Das System war als Kompetenz einer Person aufgebaut worden statt als Kapazität der Organisation. Die Zertifizierungsüberwachungen hatten dies nie bemerkt — weil der UMB immer als perfekter Systemansprechpartner zur Verfügung gestanden hatte.</w:t>
      </w:r>
    </w:p>
    <w:p>
      <w:pPr>
        <w:shd w:fill="EAFAF1" w:color="auto" w:val="clear"/>
        <w:spacing w:after="80" w:before="80" w:line="264" w:lineRule="auto"/>
        <w:ind w:left="180" w:right="180"/>
        <w:jc w:val="both"/>
      </w:pPr>
      <w:r>
        <w:rPr>
          <w:rFonts w:ascii="Georgia" w:cs="Georgia" w:eastAsia="Georgia" w:hAnsi="Georgia"/>
          <w:i/>
          <w:iCs/>
          <w:color w:val="1E8449"/>
          <w:sz w:val="17"/>
          <w:szCs w:val="17"/>
        </w:rPr>
        <w:t xml:space="preserve">✅ Reales System: In einem reifen System gibt es keinen systemkritischen Personalpfad. Das System wäre bei einem UMB-Wechsel erkennbar: Durch Personal, das Systemkompetenz aus dem operativen Alltag hat, nicht durch Schulung; durch Verfahren, die im Betrieb entstanden sind, nicht am Schreibtisch; durch Kennzahlen, die jemand liest, auch wenn niemand prüft.</w:t>
      </w:r>
    </w:p>
    <w:p>
      <w:pPr>
        <w:spacing w:after="40" w:before="80"/>
        <w:jc w:val="left"/>
      </w:pPr>
      <w:r>
        <w:rPr>
          <w:rFonts w:ascii="Georgia" w:cs="Georgia" w:eastAsia="Georgia" w:hAnsi="Georgia"/>
          <w:i/>
          <w:iCs/>
          <w:color w:val="555555"/>
          <w:sz w:val="17"/>
          <w:szCs w:val="17"/>
        </w:rPr>
        <w:t xml:space="preserve">Aktive Warnsignale in diesem Fall:</w:t>
      </w:r>
    </w:p>
    <w:p>
      <w:pPr>
        <w:spacing w:after="80" w:before="0"/>
      </w:pPr>
      <w:r>
        <w:rPr>
          <w:rFonts w:ascii="Georgia" w:cs="Georgia" w:eastAsia="Georgia" w:hAnsi="Georgia"/>
          <w:b/>
          <w:bCs/>
          <w:color w:val="B87333"/>
          <w:sz w:val="17"/>
          <w:szCs w:val="17"/>
        </w:rPr>
        <w:t xml:space="preserve">W1+W2+W3+W4+W5 — System als Person, nicht als Organisation   </w:t>
      </w:r>
    </w:p>
    <w:p>
      <w:pPr>
        <w:spacing w:after="0" w:before="300"/>
      </w:pPr>
      <w:r>
        <w:t xml:space="preserve"/>
      </w:r>
    </w:p>
    <w:p>
      <w:pPr>
        <w:spacing w:after="80" w:before="0"/>
        <w:jc w:val="left"/>
      </w:pPr>
      <w:r>
        <w:rPr>
          <w:rFonts w:ascii="Georgia" w:cs="Georgia" w:eastAsia="Georgia" w:hAnsi="Georgia"/>
          <w:b/>
          <w:bCs/>
          <w:color w:val="B87333"/>
          <w:sz w:val="22"/>
          <w:szCs w:val="22"/>
        </w:rPr>
        <w:t xml:space="preserve">Fazit: Die ehrlichen Augen des internen Auditors</w:t>
      </w:r>
    </w:p>
    <w:p>
      <w:pPr>
        <w:pBdr>
          <w:bottom w:val="single" w:color="B87333" w:sz="4" w:space="1"/>
        </w:pBdr>
        <w:spacing w:after="80" w:before="60"/>
      </w:pPr>
      <w:r>
        <w:t xml:space="preserve"/>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Alle acht Fälle haben eine gemeinsame Struktur: Das Fassadensystem ist nicht das Ergebnis böser Absicht. Es ist meistens das Ergebnis eines Systems, das für externe Verifikation optimiert wurde, statt für interne Wirksamkeit.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Der interne Auditor, der diese Muster kennt, hat eine methodologische Überlegenheit gegenüber dem externen Zertifizierungsauditor: Er hat Zugang zur operativen Realität außerhalb des Audittages. Er kann den Nachtportier fragen, den Koch im Hochbetrieb beobachten, das Lager U3 aufsuchen ohne Ankündigung.</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Die Frage, die ein ehrlicher interner Auditor stellt, ist nicht: 'Haben Sie ein Dokument dafür?' Die Frage ist: 'Zeigen Sie mir, wie das in der Praxis funktioniert.' Die Differenz zwischen der Antwort auf die erste und der Antwort auf die zweite Frage ist die Differenz zwischen einem Fassadensystem und einem realen System.</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Ein reales System hat Gebrauchsspuren. Es hat Verfahren, die im laufenden Betrieb entstanden sind und im laufenden Betrieb weiterentwickelt wurden. Es hat Personal, das aus eigener Erfahrung spricht, nicht aus eingeübten Antworten. Es hat Kennzahlen, die Variabilität zeigen, weil die Realität variabel ist.</w:t>
      </w:r>
    </w:p>
    <w:p>
      <w:pPr>
        <w:spacing w:after="100" w:before="60" w:line="276" w:lineRule="auto"/>
        <w:ind/>
        <w:jc w:val="both"/>
      </w:pPr>
      <w:r>
        <w:rPr>
          <w:rFonts w:ascii="Georgia" w:cs="Georgia" w:eastAsia="Georgia" w:hAnsi="Georgia"/>
          <w:b w:val="false"/>
          <w:bCs w:val="false"/>
          <w:i w:val="false"/>
          <w:iCs w:val="false"/>
          <w:color w:val="1A1A2E"/>
          <w:sz w:val="20"/>
          <w:szCs w:val="20"/>
        </w:rPr>
        <w:t xml:space="preserve">Und es hat etwas, das kein Dokument produziert: das Gefühl, in einem Haus zu sein, das es ernst meint.</w:t>
      </w:r>
    </w:p>
    <w:p>
      <w:pPr>
        <w:spacing w:after="0" w:before="200"/>
      </w:pPr>
      <w:r>
        <w:t xml:space="preserve"/>
      </w:r>
    </w:p>
    <w:p>
      <w:pPr>
        <w:pBdr>
          <w:bottom w:val="single" w:color="B87333" w:sz="4" w:space="1"/>
        </w:pBdr>
        <w:spacing w:after="80" w:before="60"/>
      </w:pPr>
      <w:r>
        <w:t xml:space="preserve"/>
      </w:r>
    </w:p>
    <w:p>
      <w:pPr>
        <w:spacing w:after="0" w:before="80"/>
        <w:jc w:val="right"/>
      </w:pPr>
      <w:r>
        <w:rPr>
          <w:rFonts w:ascii="Georgia" w:cs="Georgia" w:eastAsia="Georgia" w:hAnsi="Georgia"/>
          <w:i/>
          <w:iCs/>
          <w:color w:val="B87333"/>
          <w:sz w:val="17"/>
          <w:szCs w:val="17"/>
        </w:rPr>
        <w:t xml:space="preserve">buecher.effedore.com/iso-14001-2026/ressourcen</w:t>
      </w:r>
    </w:p>
    <w:sectPr>
      <w:headerReference w:type="default" r:id="rId7"/>
      <w:footerReference w:type="default" r:id="rId8"/>
      <w:pgSz w:w="10080" w:h="14400"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7333" w:sz="4" w:space="4"/>
      </w:pBdr>
      <w:tabs>
        <w:tab w:val="right" w:pos="7246"/>
      </w:tabs>
      <w:spacing w:after="0" w:before="100"/>
    </w:pPr>
    <w:r>
      <w:rPr>
        <w:rFonts w:ascii="Georgia" w:cs="Georgia" w:eastAsia="Georgia" w:hAnsi="Georgia"/>
        <w:i/>
        <w:iCs/>
        <w:color w:val="555555"/>
        <w:sz w:val="15"/>
        <w:szCs w:val="15"/>
      </w:rPr>
      <w:t xml:space="preserve">buecher.effedore.com</w:t>
    </w:r>
    <w:r>
      <w:rPr>
        <w:rFonts w:ascii="Georgia" w:cs="Georgia" w:eastAsia="Georgia" w:hAnsi="Georgia"/>
        <w:sz w:val="15"/>
        <w:szCs w:val="15"/>
      </w:rPr>
      <w:t xml:space="preserve">	</w:t>
    </w:r>
    <w:r>
      <w:rPr>
        <w:rFonts w:ascii="Georgia" w:cs="Georgia" w:eastAsia="Georgia" w:hAnsi="Georgia"/>
        <w:color w:val="B87333"/>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7333" w:sz="4" w:space="4"/>
      </w:pBdr>
      <w:spacing w:after="100" w:before="0"/>
      <w:jc w:val="right"/>
    </w:pPr>
    <w:r>
      <w:rPr>
        <w:rFonts w:ascii="Georgia" w:cs="Georgia" w:eastAsia="Georgia" w:hAnsi="Georgia"/>
        <w:i/>
        <w:iCs/>
        <w:color w:val="555555"/>
        <w:sz w:val="15"/>
        <w:szCs w:val="15"/>
      </w:rPr>
      <w:t xml:space="preserve">Das Steuer und die Lupe — Band 1b | Fassadensysteme — Fallstudien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2E"/>
        <w:sz w:val="20"/>
        <w:szCs w:val="20"/>
      </w:rPr>
    </w:rPrDefault>
    <w:pPrDefault>
      <w:pPr>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2026-05-25T23:43:36.769Z</dcterms:created>
  <dcterms:modified xsi:type="dcterms:W3CDTF">2026-05-25T23:43:36.784Z</dcterms:modified>
</cp:coreProperties>
</file>

<file path=docProps/custom.xml><?xml version="1.0" encoding="utf-8"?>
<Properties xmlns="http://schemas.openxmlformats.org/officeDocument/2006/custom-properties" xmlns:vt="http://schemas.openxmlformats.org/officeDocument/2006/docPropsVTypes"/>
</file>